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EBD" w:rsidRDefault="00891EBD">
      <w:pPr>
        <w:rPr>
          <w:rFonts w:ascii="Times New Roman" w:hAnsi="Times New Roman" w:cs="Times New Roman"/>
          <w:b/>
          <w:sz w:val="24"/>
          <w:szCs w:val="24"/>
        </w:rPr>
      </w:pPr>
    </w:p>
    <w:p w:rsidR="00891EBD" w:rsidRDefault="00891EBD">
      <w:pPr>
        <w:rPr>
          <w:rFonts w:ascii="Times New Roman" w:hAnsi="Times New Roman" w:cs="Times New Roman"/>
          <w:b/>
          <w:sz w:val="24"/>
          <w:szCs w:val="24"/>
        </w:rPr>
      </w:pPr>
    </w:p>
    <w:p w:rsidR="00891EBD" w:rsidRDefault="00891EBD">
      <w:pPr>
        <w:rPr>
          <w:rFonts w:ascii="Times New Roman" w:hAnsi="Times New Roman" w:cs="Times New Roman"/>
          <w:b/>
          <w:sz w:val="24"/>
          <w:szCs w:val="24"/>
        </w:rPr>
      </w:pPr>
    </w:p>
    <w:p w:rsidR="00891EBD" w:rsidRDefault="00891EBD">
      <w:pPr>
        <w:rPr>
          <w:rFonts w:ascii="Times New Roman" w:hAnsi="Times New Roman" w:cs="Times New Roman"/>
          <w:b/>
          <w:sz w:val="24"/>
          <w:szCs w:val="24"/>
        </w:rPr>
      </w:pPr>
    </w:p>
    <w:p w:rsidR="00891EBD" w:rsidRDefault="00891EBD">
      <w:pPr>
        <w:rPr>
          <w:rFonts w:ascii="Times New Roman" w:hAnsi="Times New Roman" w:cs="Times New Roman"/>
          <w:b/>
          <w:sz w:val="24"/>
          <w:szCs w:val="24"/>
        </w:rPr>
      </w:pPr>
    </w:p>
    <w:p w:rsidR="00891EBD" w:rsidRDefault="00891EBD">
      <w:pPr>
        <w:rPr>
          <w:rFonts w:ascii="Times New Roman" w:hAnsi="Times New Roman" w:cs="Times New Roman"/>
          <w:b/>
          <w:sz w:val="24"/>
          <w:szCs w:val="24"/>
        </w:rPr>
      </w:pPr>
    </w:p>
    <w:p w:rsidR="00891EBD" w:rsidRDefault="00891EBD" w:rsidP="00891EBD">
      <w:pPr>
        <w:jc w:val="center"/>
        <w:rPr>
          <w:rFonts w:ascii="Times New Roman" w:hAnsi="Times New Roman" w:cs="Times New Roman"/>
          <w:b/>
          <w:sz w:val="24"/>
          <w:szCs w:val="24"/>
        </w:rPr>
      </w:pPr>
      <w:r>
        <w:rPr>
          <w:rFonts w:ascii="Times New Roman" w:hAnsi="Times New Roman" w:cs="Times New Roman"/>
          <w:b/>
          <w:sz w:val="24"/>
          <w:szCs w:val="24"/>
        </w:rPr>
        <w:t>Student Name</w:t>
      </w:r>
    </w:p>
    <w:p w:rsidR="007211C4" w:rsidRDefault="00891EBD" w:rsidP="00891EBD">
      <w:pPr>
        <w:jc w:val="center"/>
        <w:rPr>
          <w:rFonts w:ascii="Times New Roman" w:hAnsi="Times New Roman" w:cs="Times New Roman"/>
          <w:b/>
          <w:sz w:val="24"/>
          <w:szCs w:val="24"/>
        </w:rPr>
      </w:pPr>
      <w:r>
        <w:rPr>
          <w:rFonts w:ascii="Times New Roman" w:hAnsi="Times New Roman" w:cs="Times New Roman"/>
          <w:b/>
          <w:sz w:val="24"/>
          <w:szCs w:val="24"/>
        </w:rPr>
        <w:t>Institutional Name</w:t>
      </w:r>
      <w:r w:rsidR="007211C4">
        <w:rPr>
          <w:rFonts w:ascii="Times New Roman" w:hAnsi="Times New Roman" w:cs="Times New Roman"/>
          <w:b/>
          <w:sz w:val="24"/>
          <w:szCs w:val="24"/>
        </w:rPr>
        <w:br w:type="page"/>
      </w:r>
    </w:p>
    <w:p w:rsidR="00891EBD" w:rsidRDefault="00891EBD">
      <w:pPr>
        <w:rPr>
          <w:rFonts w:ascii="Times New Roman" w:hAnsi="Times New Roman" w:cs="Times New Roman"/>
          <w:b/>
          <w:sz w:val="24"/>
          <w:szCs w:val="24"/>
        </w:rPr>
      </w:pPr>
    </w:p>
    <w:p w:rsidR="007211C4" w:rsidRDefault="007211C4">
      <w:pPr>
        <w:rPr>
          <w:rFonts w:ascii="Times New Roman" w:hAnsi="Times New Roman" w:cs="Times New Roman"/>
          <w:b/>
          <w:sz w:val="24"/>
          <w:szCs w:val="24"/>
        </w:rPr>
      </w:pPr>
    </w:p>
    <w:p w:rsidR="00376837" w:rsidRPr="007211C4" w:rsidRDefault="00AD06E3">
      <w:pPr>
        <w:rPr>
          <w:rFonts w:ascii="Times New Roman" w:hAnsi="Times New Roman" w:cs="Times New Roman"/>
          <w:b/>
          <w:sz w:val="24"/>
          <w:szCs w:val="24"/>
        </w:rPr>
      </w:pPr>
      <w:r w:rsidRPr="007211C4">
        <w:rPr>
          <w:rFonts w:ascii="Times New Roman" w:hAnsi="Times New Roman" w:cs="Times New Roman"/>
          <w:b/>
          <w:sz w:val="24"/>
          <w:szCs w:val="24"/>
        </w:rPr>
        <w:t>Macroeconomic Indicators affecting Arizona State</w:t>
      </w:r>
    </w:p>
    <w:p w:rsidR="00AD06E3" w:rsidRPr="00781B3C" w:rsidRDefault="00A40A38" w:rsidP="00781B3C">
      <w:pPr>
        <w:spacing w:line="480" w:lineRule="auto"/>
        <w:ind w:firstLine="720"/>
        <w:rPr>
          <w:rFonts w:ascii="Times New Roman" w:hAnsi="Times New Roman" w:cs="Times New Roman"/>
          <w:sz w:val="24"/>
          <w:szCs w:val="24"/>
          <w:shd w:val="clear" w:color="auto" w:fill="FFFFFF"/>
        </w:rPr>
      </w:pPr>
      <w:r w:rsidRPr="00781B3C">
        <w:rPr>
          <w:rFonts w:ascii="Times New Roman" w:hAnsi="Times New Roman" w:cs="Times New Roman"/>
          <w:sz w:val="24"/>
          <w:szCs w:val="24"/>
          <w:shd w:val="clear" w:color="auto" w:fill="FFFFFF"/>
        </w:rPr>
        <w:t xml:space="preserve">Arizona, a </w:t>
      </w:r>
      <w:r w:rsidR="00792078" w:rsidRPr="00781B3C">
        <w:rPr>
          <w:rFonts w:ascii="Times New Roman" w:hAnsi="Times New Roman" w:cs="Times New Roman"/>
          <w:sz w:val="24"/>
          <w:szCs w:val="24"/>
          <w:shd w:val="clear" w:color="auto" w:fill="FFFFFF"/>
        </w:rPr>
        <w:t>southwestern</w:t>
      </w:r>
      <w:r w:rsidRPr="00781B3C">
        <w:rPr>
          <w:rFonts w:ascii="Times New Roman" w:hAnsi="Times New Roman" w:cs="Times New Roman"/>
          <w:sz w:val="24"/>
          <w:szCs w:val="24"/>
          <w:shd w:val="clear" w:color="auto" w:fill="FFFFFF"/>
        </w:rPr>
        <w:t xml:space="preserve"> U.S. state, is best known for the Grand Canyon, the mile-deep chasm carved by the Colorado River. Flagstaff, a ponderosa pine–covered mountain town, is a major gateway to the Grand Canyon. Other natural sites include Saguaro National Park, protecting cactus-filled Sonoran Desert landscape. Tucson is University of Arizona territory and home to the Arizona-Sonora Desert Museum.</w:t>
      </w:r>
    </w:p>
    <w:p w:rsidR="0007135F" w:rsidRPr="00781B3C" w:rsidRDefault="0007135F" w:rsidP="00781B3C">
      <w:pPr>
        <w:spacing w:line="480" w:lineRule="auto"/>
        <w:ind w:firstLine="720"/>
        <w:rPr>
          <w:rFonts w:ascii="Times New Roman" w:hAnsi="Times New Roman" w:cs="Times New Roman"/>
          <w:sz w:val="24"/>
          <w:szCs w:val="24"/>
        </w:rPr>
      </w:pPr>
      <w:r w:rsidRPr="00781B3C">
        <w:rPr>
          <w:rFonts w:ascii="Times New Roman" w:hAnsi="Times New Roman" w:cs="Times New Roman"/>
          <w:sz w:val="24"/>
          <w:szCs w:val="24"/>
        </w:rPr>
        <w:t>The main macroeconomic factors affecting the Arizona state include;</w:t>
      </w:r>
    </w:p>
    <w:p w:rsidR="0007135F" w:rsidRPr="007211C4" w:rsidRDefault="0007135F" w:rsidP="00781B3C">
      <w:pPr>
        <w:tabs>
          <w:tab w:val="left" w:pos="2775"/>
        </w:tabs>
        <w:spacing w:line="480" w:lineRule="auto"/>
        <w:ind w:firstLine="720"/>
        <w:rPr>
          <w:rFonts w:ascii="Times New Roman" w:hAnsi="Times New Roman" w:cs="Times New Roman"/>
          <w:b/>
          <w:sz w:val="24"/>
          <w:szCs w:val="24"/>
        </w:rPr>
      </w:pPr>
      <w:r w:rsidRPr="007211C4">
        <w:rPr>
          <w:rFonts w:ascii="Times New Roman" w:hAnsi="Times New Roman" w:cs="Times New Roman"/>
          <w:b/>
          <w:sz w:val="24"/>
          <w:szCs w:val="24"/>
        </w:rPr>
        <w:t>1. Unemployment</w:t>
      </w:r>
      <w:r w:rsidR="00781B3C" w:rsidRPr="007211C4">
        <w:rPr>
          <w:rFonts w:ascii="Times New Roman" w:hAnsi="Times New Roman" w:cs="Times New Roman"/>
          <w:b/>
          <w:sz w:val="24"/>
          <w:szCs w:val="24"/>
        </w:rPr>
        <w:tab/>
      </w:r>
    </w:p>
    <w:p w:rsidR="00792078" w:rsidRPr="00781B3C" w:rsidRDefault="0007135F" w:rsidP="00781B3C">
      <w:pPr>
        <w:spacing w:line="480" w:lineRule="auto"/>
        <w:ind w:firstLine="720"/>
        <w:rPr>
          <w:rFonts w:ascii="Times New Roman" w:hAnsi="Times New Roman" w:cs="Times New Roman"/>
          <w:sz w:val="24"/>
          <w:szCs w:val="24"/>
        </w:rPr>
      </w:pPr>
      <w:r w:rsidRPr="00781B3C">
        <w:rPr>
          <w:rFonts w:ascii="Times New Roman" w:hAnsi="Times New Roman" w:cs="Times New Roman"/>
          <w:sz w:val="24"/>
          <w:szCs w:val="24"/>
        </w:rPr>
        <w:t xml:space="preserve">This refers to the total number of the total population who are willing and able to </w:t>
      </w:r>
      <w:r w:rsidR="007211C4" w:rsidRPr="00781B3C">
        <w:rPr>
          <w:rFonts w:ascii="Times New Roman" w:hAnsi="Times New Roman" w:cs="Times New Roman"/>
          <w:sz w:val="24"/>
          <w:szCs w:val="24"/>
        </w:rPr>
        <w:t>work but</w:t>
      </w:r>
      <w:r w:rsidRPr="00781B3C">
        <w:rPr>
          <w:rFonts w:ascii="Times New Roman" w:hAnsi="Times New Roman" w:cs="Times New Roman"/>
          <w:sz w:val="24"/>
          <w:szCs w:val="24"/>
        </w:rPr>
        <w:t xml:space="preserve"> they cannot find any type of employment.</w:t>
      </w:r>
    </w:p>
    <w:p w:rsidR="0007135F" w:rsidRPr="00781B3C" w:rsidRDefault="004C72F7" w:rsidP="00781B3C">
      <w:pPr>
        <w:spacing w:line="480" w:lineRule="auto"/>
        <w:ind w:firstLine="720"/>
        <w:rPr>
          <w:rFonts w:ascii="Times New Roman" w:hAnsi="Times New Roman" w:cs="Times New Roman"/>
          <w:sz w:val="24"/>
          <w:szCs w:val="24"/>
          <w:shd w:val="clear" w:color="auto" w:fill="FFFFFF"/>
        </w:rPr>
      </w:pPr>
      <w:r w:rsidRPr="00781B3C">
        <w:rPr>
          <w:rFonts w:ascii="Times New Roman" w:hAnsi="Times New Roman" w:cs="Times New Roman"/>
          <w:sz w:val="24"/>
          <w:szCs w:val="24"/>
          <w:shd w:val="clear" w:color="auto" w:fill="FFFFFF"/>
        </w:rPr>
        <w:t>Arizona’s seasonally adjusted unemployment rate is well above the national level, but for good reasons as its workforce continues to grow, according to the state’s economic number crunchers.</w:t>
      </w:r>
    </w:p>
    <w:p w:rsidR="004C72F7" w:rsidRPr="00781B3C" w:rsidRDefault="004C72F7" w:rsidP="00781B3C">
      <w:pPr>
        <w:spacing w:line="480" w:lineRule="auto"/>
        <w:ind w:firstLine="720"/>
        <w:rPr>
          <w:rFonts w:ascii="Times New Roman" w:hAnsi="Times New Roman" w:cs="Times New Roman"/>
          <w:sz w:val="24"/>
          <w:szCs w:val="24"/>
          <w:shd w:val="clear" w:color="auto" w:fill="FFFFFF"/>
        </w:rPr>
      </w:pPr>
      <w:r w:rsidRPr="00781B3C">
        <w:rPr>
          <w:rFonts w:ascii="Times New Roman" w:hAnsi="Times New Roman" w:cs="Times New Roman"/>
          <w:sz w:val="24"/>
          <w:szCs w:val="24"/>
          <w:shd w:val="clear" w:color="auto" w:fill="FFFFFF"/>
        </w:rPr>
        <w:t>Doug Walls, of the Office of Economic Opportunity, said Arizona’s higher-than-average unemployment rate is because the labor force has grown so much more in Arizona than in the rest of the country. While that is primarily due to people moving to the state, Walls said, there are likely other factors, including a decrease in “discouraged workers” who had stopped looking for jobs.</w:t>
      </w:r>
    </w:p>
    <w:p w:rsidR="004C72F7" w:rsidRPr="00781B3C" w:rsidRDefault="004C72F7" w:rsidP="00781B3C">
      <w:pPr>
        <w:pStyle w:val="NormalWeb"/>
        <w:shd w:val="clear" w:color="auto" w:fill="FFFFFF"/>
        <w:spacing w:before="0" w:beforeAutospacing="0" w:after="390" w:afterAutospacing="0" w:line="480" w:lineRule="auto"/>
        <w:ind w:firstLine="720"/>
      </w:pPr>
      <w:r w:rsidRPr="00781B3C">
        <w:t>Over the past year, Arizona has gained about 78,000 jobs, with education, health services and construction seeing the most growth. </w:t>
      </w:r>
    </w:p>
    <w:p w:rsidR="0013095C" w:rsidRDefault="004C72F7" w:rsidP="0013095C">
      <w:pPr>
        <w:pStyle w:val="NormalWeb"/>
        <w:shd w:val="clear" w:color="auto" w:fill="FFFFFF"/>
        <w:spacing w:before="0" w:beforeAutospacing="0" w:after="390" w:afterAutospacing="0" w:line="480" w:lineRule="auto"/>
        <w:ind w:firstLine="720"/>
      </w:pPr>
      <w:r w:rsidRPr="00781B3C">
        <w:lastRenderedPageBreak/>
        <w:t xml:space="preserve">The Office of Economic Opportunity also found that Arizona has not seen job losses in industries were the minimum wage is prevalent, despite the minimum wage </w:t>
      </w:r>
      <w:r w:rsidR="00C3577A" w:rsidRPr="00781B3C">
        <w:t>increase,</w:t>
      </w:r>
      <w:r w:rsidRPr="00781B3C">
        <w:t xml:space="preserve"> </w:t>
      </w:r>
      <w:r w:rsidR="0013095C">
        <w:t>voters approved in November had fewer works</w:t>
      </w:r>
    </w:p>
    <w:p w:rsidR="00C3577A" w:rsidRPr="002A0271" w:rsidRDefault="00C3577A" w:rsidP="0013095C">
      <w:pPr>
        <w:pStyle w:val="NormalWeb"/>
        <w:shd w:val="clear" w:color="auto" w:fill="FFFFFF"/>
        <w:spacing w:before="0" w:beforeAutospacing="0" w:after="390" w:afterAutospacing="0" w:line="480" w:lineRule="auto"/>
        <w:ind w:firstLine="720"/>
        <w:rPr>
          <w:b/>
        </w:rPr>
      </w:pPr>
      <w:r w:rsidRPr="002A0271">
        <w:rPr>
          <w:b/>
        </w:rPr>
        <w:t>2. Closure of industries</w:t>
      </w:r>
    </w:p>
    <w:p w:rsidR="00C3577A" w:rsidRDefault="00C3577A" w:rsidP="00C3577A">
      <w:pPr>
        <w:pStyle w:val="NormalWeb"/>
        <w:shd w:val="clear" w:color="auto" w:fill="FFFFFF"/>
        <w:spacing w:before="0" w:beforeAutospacing="0" w:after="390" w:afterAutospacing="0" w:line="480" w:lineRule="auto"/>
        <w:ind w:firstLine="720"/>
      </w:pPr>
      <w:r>
        <w:t xml:space="preserve">Beyond the geographic disparities, the states industrial footprint has changed. The housing crash and wider recession ravaged the construction industry, which has scarcely recovered at all. At the end of year 2007, there were more than 210,000 people working in construction around the state. By February 2011, there were less than 110,000. Eight years after the recession </w:t>
      </w:r>
      <w:r w:rsidR="002A0271">
        <w:t>began;</w:t>
      </w:r>
      <w:r>
        <w:t xml:space="preserve"> the construction industry still had nearly 80,000 fewer workers.</w:t>
      </w:r>
      <w:bookmarkStart w:id="0" w:name="_GoBack"/>
      <w:bookmarkEnd w:id="0"/>
    </w:p>
    <w:p w:rsidR="002A0271" w:rsidRPr="002A0271" w:rsidRDefault="002A0271" w:rsidP="00C3577A">
      <w:pPr>
        <w:pStyle w:val="NormalWeb"/>
        <w:shd w:val="clear" w:color="auto" w:fill="FFFFFF"/>
        <w:spacing w:before="0" w:beforeAutospacing="0" w:after="390" w:afterAutospacing="0" w:line="480" w:lineRule="auto"/>
        <w:ind w:firstLine="720"/>
        <w:rPr>
          <w:b/>
        </w:rPr>
      </w:pPr>
      <w:r w:rsidRPr="002A0271">
        <w:rPr>
          <w:b/>
        </w:rPr>
        <w:t>Shortcomings in basic infrastructure</w:t>
      </w:r>
    </w:p>
    <w:p w:rsidR="002A0271" w:rsidRDefault="002A0271" w:rsidP="00C3577A">
      <w:pPr>
        <w:pStyle w:val="NormalWeb"/>
        <w:shd w:val="clear" w:color="auto" w:fill="FFFFFF"/>
        <w:spacing w:before="0" w:beforeAutospacing="0" w:after="390" w:afterAutospacing="0" w:line="480" w:lineRule="auto"/>
        <w:ind w:firstLine="720"/>
        <w:rPr>
          <w:shd w:val="clear" w:color="auto" w:fill="FFFFFF"/>
        </w:rPr>
      </w:pPr>
      <w:r w:rsidRPr="002A0271">
        <w:rPr>
          <w:shd w:val="clear" w:color="auto" w:fill="FFFFFF"/>
        </w:rPr>
        <w:t>The opportunities – new businesses arriving, increased productivity, and new jobs for workers – are there, but so are the challenges – </w:t>
      </w:r>
      <w:r w:rsidRPr="002A0271">
        <w:rPr>
          <w:rStyle w:val="glossarylink"/>
          <w:shd w:val="clear" w:color="auto" w:fill="FFFFFF"/>
        </w:rPr>
        <w:t>congestion</w:t>
      </w:r>
      <w:r w:rsidRPr="002A0271">
        <w:rPr>
          <w:shd w:val="clear" w:color="auto" w:fill="FFFFFF"/>
        </w:rPr>
        <w:t>, having to expand existing infrastructure, and keeping up with maintenance for new and old assets. Arizona’s bene</w:t>
      </w:r>
      <w:r>
        <w:rPr>
          <w:shd w:val="clear" w:color="auto" w:fill="FFFFFF"/>
        </w:rPr>
        <w:t>fited from keeping ahead of it is</w:t>
      </w:r>
      <w:r w:rsidRPr="002A0271">
        <w:rPr>
          <w:shd w:val="clear" w:color="auto" w:fill="FFFFFF"/>
        </w:rPr>
        <w:t xml:space="preserve"> growth challenges in the past by adding new aviation facilities, growing the interstate network, and adding transit options that have outperformed their ridership estimates</w:t>
      </w:r>
      <w:r>
        <w:rPr>
          <w:shd w:val="clear" w:color="auto" w:fill="FFFFFF"/>
        </w:rPr>
        <w:t>.</w:t>
      </w:r>
    </w:p>
    <w:p w:rsidR="00305851" w:rsidRDefault="00305851" w:rsidP="00C3577A">
      <w:pPr>
        <w:pStyle w:val="NormalWeb"/>
        <w:shd w:val="clear" w:color="auto" w:fill="FFFFFF"/>
        <w:spacing w:before="0" w:beforeAutospacing="0" w:after="390" w:afterAutospacing="0" w:line="480" w:lineRule="auto"/>
        <w:ind w:firstLine="720"/>
        <w:rPr>
          <w:shd w:val="clear" w:color="auto" w:fill="FFFFFF"/>
        </w:rPr>
      </w:pPr>
      <w:r>
        <w:rPr>
          <w:shd w:val="clear" w:color="auto" w:fill="FFFFFF"/>
        </w:rPr>
        <w:t xml:space="preserve">Roads are key economic growth and development. Good roads will mean that agricultural produce and which it’s highly perishable will be transported to the market with ease. They will reach the market when they are still fresh and will fetch good prices. Good prices will translate to increased income, which can be invested back to the economy, it also be used to provide good healthcare to the citizens and generally the government can invest in </w:t>
      </w:r>
      <w:r>
        <w:rPr>
          <w:shd w:val="clear" w:color="auto" w:fill="FFFFFF"/>
        </w:rPr>
        <w:lastRenderedPageBreak/>
        <w:t>those beneficial projects which are not profitable to</w:t>
      </w:r>
      <w:r w:rsidR="0097311C">
        <w:rPr>
          <w:shd w:val="clear" w:color="auto" w:fill="FFFFFF"/>
        </w:rPr>
        <w:t xml:space="preserve"> and which require heavy financial invest mend</w:t>
      </w:r>
    </w:p>
    <w:p w:rsidR="0097311C" w:rsidRDefault="0097311C" w:rsidP="00C3577A">
      <w:pPr>
        <w:pStyle w:val="NormalWeb"/>
        <w:shd w:val="clear" w:color="auto" w:fill="FFFFFF"/>
        <w:spacing w:before="0" w:beforeAutospacing="0" w:after="390" w:afterAutospacing="0" w:line="480" w:lineRule="auto"/>
        <w:ind w:firstLine="720"/>
        <w:rPr>
          <w:shd w:val="clear" w:color="auto" w:fill="FFFFFF"/>
        </w:rPr>
      </w:pPr>
    </w:p>
    <w:p w:rsidR="0097311C" w:rsidRDefault="0097311C" w:rsidP="00C3577A">
      <w:pPr>
        <w:pStyle w:val="NormalWeb"/>
        <w:shd w:val="clear" w:color="auto" w:fill="FFFFFF"/>
        <w:spacing w:before="0" w:beforeAutospacing="0" w:after="390" w:afterAutospacing="0" w:line="480" w:lineRule="auto"/>
        <w:ind w:firstLine="720"/>
        <w:rPr>
          <w:shd w:val="clear" w:color="auto" w:fill="FFFFFF"/>
        </w:rPr>
      </w:pPr>
    </w:p>
    <w:p w:rsidR="0097311C" w:rsidRDefault="0097311C" w:rsidP="00C3577A">
      <w:pPr>
        <w:pStyle w:val="NormalWeb"/>
        <w:shd w:val="clear" w:color="auto" w:fill="FFFFFF"/>
        <w:spacing w:before="0" w:beforeAutospacing="0" w:after="390" w:afterAutospacing="0" w:line="480" w:lineRule="auto"/>
        <w:ind w:firstLine="720"/>
        <w:rPr>
          <w:shd w:val="clear" w:color="auto" w:fill="FFFFFF"/>
        </w:rPr>
      </w:pPr>
    </w:p>
    <w:p w:rsidR="002A0271" w:rsidRPr="00305851" w:rsidRDefault="002A0271" w:rsidP="00C3577A">
      <w:pPr>
        <w:pStyle w:val="NormalWeb"/>
        <w:shd w:val="clear" w:color="auto" w:fill="FFFFFF"/>
        <w:spacing w:before="0" w:beforeAutospacing="0" w:after="390" w:afterAutospacing="0" w:line="480" w:lineRule="auto"/>
        <w:ind w:firstLine="720"/>
        <w:rPr>
          <w:b/>
          <w:shd w:val="clear" w:color="auto" w:fill="FFFFFF"/>
        </w:rPr>
      </w:pPr>
      <w:r w:rsidRPr="00305851">
        <w:rPr>
          <w:b/>
          <w:shd w:val="clear" w:color="auto" w:fill="FFFFFF"/>
        </w:rPr>
        <w:t>Low quality of education</w:t>
      </w:r>
    </w:p>
    <w:p w:rsidR="00EB09BD" w:rsidRDefault="002A0271" w:rsidP="002A0271">
      <w:pPr>
        <w:pStyle w:val="NormalWeb"/>
        <w:spacing w:before="0" w:beforeAutospacing="0" w:after="0" w:afterAutospacing="0" w:line="480" w:lineRule="auto"/>
        <w:ind w:firstLine="720"/>
      </w:pPr>
      <w:r w:rsidRPr="002A0271">
        <w:t xml:space="preserve">Arizona ranked 45th among the 50 states </w:t>
      </w:r>
      <w:r w:rsidR="00EB09BD">
        <w:t>and the District of Columbia in</w:t>
      </w:r>
    </w:p>
    <w:p w:rsidR="002A0271" w:rsidRPr="002A0271" w:rsidRDefault="002A0271" w:rsidP="002A0271">
      <w:pPr>
        <w:pStyle w:val="NormalWeb"/>
        <w:spacing w:before="0" w:beforeAutospacing="0" w:after="0" w:afterAutospacing="0" w:line="480" w:lineRule="auto"/>
        <w:ind w:firstLine="720"/>
      </w:pPr>
      <w:r w:rsidRPr="002A0271">
        <w:t>the </w:t>
      </w:r>
      <w:hyperlink r:id="rId6" w:tgtFrame="_blank" w:history="1">
        <w:r w:rsidRPr="007121E1">
          <w:rPr>
            <w:rStyle w:val="Hyperlink"/>
            <w:color w:val="auto"/>
            <w:u w:val="none"/>
          </w:rPr>
          <w:t>“Education Week” rankings</w:t>
        </w:r>
      </w:hyperlink>
      <w:r w:rsidR="00EB09BD" w:rsidRPr="007121E1">
        <w:t> </w:t>
      </w:r>
      <w:r w:rsidR="00EB09BD">
        <w:t xml:space="preserve">for </w:t>
      </w:r>
      <w:r w:rsidRPr="002A0271">
        <w:t>2018, with a score of 68.7. But the U.S. as a whole didn’t score much higher: It got a C. Only 12 states received higher than a C+ overall score.</w:t>
      </w:r>
    </w:p>
    <w:p w:rsidR="002A0271" w:rsidRPr="002A0271" w:rsidRDefault="002A0271" w:rsidP="002A0271">
      <w:pPr>
        <w:pStyle w:val="NormalWeb"/>
        <w:spacing w:before="0" w:beforeAutospacing="0" w:after="300" w:afterAutospacing="0" w:line="480" w:lineRule="auto"/>
        <w:ind w:firstLine="720"/>
      </w:pPr>
      <w:r w:rsidRPr="002A0271">
        <w:t xml:space="preserve">The D+ ranking is not new to Arizona: The state’s grade has not changed since Education Week – a national newspaper for education topics, published by Editorial Projects in Education, a Washington, D.C.- area </w:t>
      </w:r>
      <w:r w:rsidR="00EB09BD" w:rsidRPr="002A0271">
        <w:t>non-profit</w:t>
      </w:r>
      <w:r w:rsidRPr="002A0271">
        <w:t xml:space="preserve"> – updated its grading category three years ago.</w:t>
      </w:r>
      <w:r w:rsidR="00EB09BD">
        <w:t xml:space="preserve"> The quality of education in most schools in Arizona is relatively low as compared to other states. This condition has a negative effect to the general economy of the state. With good and quality education, the state will have experts who can make and implement policies which are in tandem with the laid down development plans. Such homemade experts will </w:t>
      </w:r>
      <w:r w:rsidR="00305851">
        <w:t>tend to dedicate themselves knowing that they are working for their state and this will lead to economic growth and development in general being witnessed in the state.</w:t>
      </w:r>
    </w:p>
    <w:p w:rsidR="0097311C" w:rsidRDefault="0097311C" w:rsidP="0097311C">
      <w:pPr>
        <w:pStyle w:val="NormalWeb"/>
        <w:shd w:val="clear" w:color="auto" w:fill="FFFFFF"/>
        <w:tabs>
          <w:tab w:val="left" w:pos="3975"/>
        </w:tabs>
        <w:spacing w:before="0" w:beforeAutospacing="0" w:after="390" w:afterAutospacing="0" w:line="480" w:lineRule="auto"/>
        <w:ind w:firstLine="720"/>
      </w:pPr>
      <w:r w:rsidRPr="0097311C">
        <w:rPr>
          <w:b/>
          <w:shd w:val="clear" w:color="auto" w:fill="FFFFFF"/>
        </w:rPr>
        <w:t>Effects of the 2008 Recession</w:t>
      </w:r>
    </w:p>
    <w:p w:rsidR="0097311C" w:rsidRPr="0097311C" w:rsidRDefault="0097311C" w:rsidP="0097311C">
      <w:pPr>
        <w:pStyle w:val="NormalWeb"/>
        <w:shd w:val="clear" w:color="auto" w:fill="FFFFFF"/>
        <w:tabs>
          <w:tab w:val="left" w:pos="3975"/>
        </w:tabs>
        <w:spacing w:before="0" w:beforeAutospacing="0" w:after="390" w:afterAutospacing="0" w:line="480" w:lineRule="auto"/>
        <w:ind w:firstLine="720"/>
      </w:pPr>
      <w:r>
        <w:lastRenderedPageBreak/>
        <w:t xml:space="preserve">In 2008, the US economy nearly collapsed. The </w:t>
      </w:r>
      <w:r w:rsidR="00B67888">
        <w:t>situation, which</w:t>
      </w:r>
      <w:r>
        <w:t xml:space="preserve"> is commonly known as the Global crisis </w:t>
      </w:r>
      <w:r w:rsidR="00B67888">
        <w:t>where the US corporate housing collapsed. It had its effect in the world but the more effect was felt in the US.</w:t>
      </w:r>
      <w:r w:rsidRPr="0097311C">
        <w:tab/>
      </w:r>
    </w:p>
    <w:p w:rsidR="002A0271" w:rsidRDefault="00B67888" w:rsidP="00C3577A">
      <w:pPr>
        <w:pStyle w:val="NormalWeb"/>
        <w:shd w:val="clear" w:color="auto" w:fill="FFFFFF"/>
        <w:spacing w:before="0" w:beforeAutospacing="0" w:after="390" w:afterAutospacing="0" w:line="480" w:lineRule="auto"/>
        <w:ind w:firstLine="720"/>
        <w:rPr>
          <w:shd w:val="clear" w:color="auto" w:fill="FFFFFF"/>
        </w:rPr>
      </w:pPr>
      <w:r w:rsidRPr="00B67888">
        <w:rPr>
          <w:shd w:val="clear" w:color="auto" w:fill="FFFFFF"/>
        </w:rPr>
        <w:t>Public-private partnerships involve collaboration between a government agency and a private-sector company that can be used to finance, build, and operate projects, such as public transportation networ</w:t>
      </w:r>
      <w:r w:rsidR="00456F24">
        <w:rPr>
          <w:shd w:val="clear" w:color="auto" w:fill="FFFFFF"/>
        </w:rPr>
        <w:t>ks, parks, and convention centre</w:t>
      </w:r>
      <w:r w:rsidRPr="00B67888">
        <w:rPr>
          <w:shd w:val="clear" w:color="auto" w:fill="FFFFFF"/>
        </w:rPr>
        <w:t>s. Financing a project through a public-private partnership can allow a project to be completed sooner or make it a possibility in the first place.</w:t>
      </w:r>
    </w:p>
    <w:p w:rsidR="00456F24" w:rsidRDefault="00456F24" w:rsidP="00E04C6C">
      <w:pPr>
        <w:pStyle w:val="NormalWeb"/>
        <w:shd w:val="clear" w:color="auto" w:fill="FFFFFF"/>
        <w:spacing w:before="0" w:beforeAutospacing="0" w:after="390" w:afterAutospacing="0" w:line="480" w:lineRule="auto"/>
        <w:ind w:firstLine="720"/>
        <w:rPr>
          <w:shd w:val="clear" w:color="auto" w:fill="FFFFFF"/>
        </w:rPr>
      </w:pPr>
      <w:r>
        <w:rPr>
          <w:shd w:val="clear" w:color="auto" w:fill="FFFFFF"/>
        </w:rPr>
        <w:t>One of the continuing trends in the government contracting is the usage of the 3Ps as a way to build true partnerships between the public and the private sector</w:t>
      </w:r>
      <w:r w:rsidR="00E04C6C">
        <w:rPr>
          <w:shd w:val="clear" w:color="auto" w:fill="FFFFFF"/>
        </w:rPr>
        <w:t>. The 3Ps have been used successfully for decades in the US, but with new financial pressures on federal, state and local agencies, many agencies have renewed a focus toward P3s as a means to reduce operating budgets by turning operations and maintenance responsibilities over to private companies.</w:t>
      </w:r>
    </w:p>
    <w:p w:rsidR="00E04C6C" w:rsidRDefault="00E04C6C" w:rsidP="00E04C6C">
      <w:pPr>
        <w:spacing w:after="0" w:line="480" w:lineRule="auto"/>
        <w:rPr>
          <w:rFonts w:ascii="Times New Roman" w:eastAsia="Times New Roman" w:hAnsi="Times New Roman" w:cs="Times New Roman"/>
          <w:sz w:val="24"/>
          <w:szCs w:val="24"/>
        </w:rPr>
      </w:pPr>
      <w:r w:rsidRPr="00E04C6C">
        <w:rPr>
          <w:rFonts w:ascii="Times New Roman" w:hAnsi="Times New Roman" w:cs="Times New Roman"/>
          <w:sz w:val="24"/>
          <w:szCs w:val="24"/>
          <w:shd w:val="clear" w:color="auto" w:fill="FFFFFF"/>
        </w:rPr>
        <w:t xml:space="preserve">Despite the above-discussed challenges facing the Arizona state, she has very strong Public-Private partnership  which strengthen economic development, booming agriculture </w:t>
      </w:r>
      <w:r w:rsidRPr="00E04C6C">
        <w:rPr>
          <w:rFonts w:ascii="Times New Roman" w:eastAsia="Times New Roman" w:hAnsi="Times New Roman" w:cs="Times New Roman"/>
          <w:sz w:val="24"/>
          <w:szCs w:val="24"/>
        </w:rPr>
        <w:t xml:space="preserve">establishment of big-ticket projects, and tourism. Studying macroeconomic indicators in Arizona is important to understand the functioning and performance of her economy. </w:t>
      </w:r>
    </w:p>
    <w:p w:rsidR="00E04C6C" w:rsidRDefault="00E04C6C" w:rsidP="00E04C6C">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Pr="00E04C6C">
        <w:rPr>
          <w:rFonts w:ascii="Times New Roman" w:eastAsia="Times New Roman" w:hAnsi="Times New Roman" w:cs="Times New Roman"/>
          <w:b/>
          <w:sz w:val="24"/>
          <w:szCs w:val="24"/>
        </w:rPr>
        <w:t>Macro-economic indicators</w:t>
      </w:r>
    </w:p>
    <w:p w:rsidR="00E04C6C" w:rsidRDefault="00E04C6C" w:rsidP="00E04C6C">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 Gross Domestic Product of the state</w:t>
      </w:r>
    </w:p>
    <w:p w:rsidR="00E04C6C" w:rsidRPr="009C3529" w:rsidRDefault="009C3529" w:rsidP="00E04C6C">
      <w:pPr>
        <w:spacing w:after="0" w:line="480" w:lineRule="auto"/>
        <w:rPr>
          <w:rFonts w:ascii="Times New Roman" w:hAnsi="Times New Roman" w:cs="Times New Roman"/>
          <w:sz w:val="24"/>
          <w:szCs w:val="24"/>
          <w:shd w:val="clear" w:color="auto" w:fill="FFFFFF"/>
        </w:rPr>
      </w:pPr>
      <w:r w:rsidRPr="009C3529">
        <w:rPr>
          <w:rFonts w:ascii="Times New Roman" w:hAnsi="Times New Roman" w:cs="Times New Roman"/>
          <w:sz w:val="24"/>
          <w:szCs w:val="24"/>
          <w:shd w:val="clear" w:color="auto" w:fill="FFFFFF"/>
        </w:rPr>
        <w:t xml:space="preserve">Gross Domestic Product (GDP) is the total monetary or market value of all the finished goods and services produced within a country's borders in a specific </w:t>
      </w:r>
      <w:r w:rsidRPr="009C3529">
        <w:rPr>
          <w:rFonts w:ascii="Times New Roman" w:hAnsi="Times New Roman" w:cs="Times New Roman"/>
          <w:sz w:val="24"/>
          <w:szCs w:val="24"/>
          <w:shd w:val="clear" w:color="auto" w:fill="FFFFFF"/>
        </w:rPr>
        <w:t>period</w:t>
      </w:r>
      <w:r>
        <w:rPr>
          <w:rFonts w:ascii="Times New Roman" w:hAnsi="Times New Roman" w:cs="Times New Roman"/>
          <w:sz w:val="24"/>
          <w:szCs w:val="24"/>
          <w:shd w:val="clear" w:color="auto" w:fill="FFFFFF"/>
        </w:rPr>
        <w:t xml:space="preserve"> of time</w:t>
      </w:r>
      <w:r w:rsidRPr="009C3529">
        <w:rPr>
          <w:rFonts w:ascii="Times New Roman" w:hAnsi="Times New Roman" w:cs="Times New Roman"/>
          <w:sz w:val="24"/>
          <w:szCs w:val="24"/>
          <w:shd w:val="clear" w:color="auto" w:fill="FFFFFF"/>
        </w:rPr>
        <w:t xml:space="preserve">. As a broad </w:t>
      </w:r>
      <w:r w:rsidRPr="009C3529">
        <w:rPr>
          <w:rFonts w:ascii="Times New Roman" w:hAnsi="Times New Roman" w:cs="Times New Roman"/>
          <w:sz w:val="24"/>
          <w:szCs w:val="24"/>
          <w:shd w:val="clear" w:color="auto" w:fill="FFFFFF"/>
        </w:rPr>
        <w:lastRenderedPageBreak/>
        <w:t>measure of overall domestic production, it functions as a comprehensive scorecard of the country’s economic health.</w:t>
      </w:r>
    </w:p>
    <w:p w:rsidR="009C3529" w:rsidRDefault="009C3529" w:rsidP="00E04C6C">
      <w:pPr>
        <w:spacing w:after="0" w:line="480" w:lineRule="auto"/>
        <w:rPr>
          <w:rFonts w:ascii="Times New Roman" w:hAnsi="Times New Roman" w:cs="Times New Roman"/>
          <w:sz w:val="24"/>
          <w:szCs w:val="24"/>
          <w:shd w:val="clear" w:color="auto" w:fill="FFFFFF"/>
        </w:rPr>
      </w:pPr>
      <w:r w:rsidRPr="009C3529">
        <w:rPr>
          <w:rFonts w:ascii="Times New Roman" w:hAnsi="Times New Roman" w:cs="Times New Roman"/>
          <w:sz w:val="24"/>
          <w:szCs w:val="24"/>
          <w:shd w:val="clear" w:color="auto" w:fill="FFFFFF"/>
        </w:rPr>
        <w:t>Over the 5 years ending in 2016 the Arizona economy grew in </w:t>
      </w:r>
      <w:r w:rsidRPr="009C3529">
        <w:rPr>
          <w:rStyle w:val="Emphasis"/>
          <w:rFonts w:ascii="Times New Roman" w:hAnsi="Times New Roman" w:cs="Times New Roman"/>
          <w:sz w:val="24"/>
          <w:szCs w:val="24"/>
          <w:bdr w:val="none" w:sz="0" w:space="0" w:color="auto" w:frame="1"/>
          <w:shd w:val="clear" w:color="auto" w:fill="FFFFFF"/>
        </w:rPr>
        <w:t>real</w:t>
      </w:r>
      <w:r w:rsidRPr="009C3529">
        <w:rPr>
          <w:rFonts w:ascii="Times New Roman" w:hAnsi="Times New Roman" w:cs="Times New Roman"/>
          <w:sz w:val="24"/>
          <w:szCs w:val="24"/>
          <w:shd w:val="clear" w:color="auto" w:fill="FFFFFF"/>
        </w:rPr>
        <w:t> terms by 8.11% at a compound annual growth rate of 1.57% per year. Arizona GDP was at its highest in 2007 when it reached $272.417 bn. It is now $4.945 bn (1.82%) lower</w:t>
      </w:r>
      <w:r>
        <w:rPr>
          <w:rFonts w:ascii="Times New Roman" w:hAnsi="Times New Roman" w:cs="Times New Roman"/>
          <w:sz w:val="24"/>
          <w:szCs w:val="24"/>
          <w:shd w:val="clear" w:color="auto" w:fill="FFFFFF"/>
        </w:rPr>
        <w:t xml:space="preserve"> (</w:t>
      </w:r>
      <w:r w:rsidRPr="009C3529">
        <w:rPr>
          <w:rFonts w:ascii="Times New Roman" w:hAnsi="Times New Roman" w:cs="Times New Roman"/>
          <w:sz w:val="24"/>
          <w:szCs w:val="24"/>
          <w:shd w:val="clear" w:color="auto" w:fill="FFFFFF"/>
        </w:rPr>
        <w:t>BEA Data)</w:t>
      </w:r>
      <w:r>
        <w:rPr>
          <w:rFonts w:ascii="Times New Roman" w:hAnsi="Times New Roman" w:cs="Times New Roman"/>
          <w:sz w:val="24"/>
          <w:szCs w:val="24"/>
          <w:shd w:val="clear" w:color="auto" w:fill="FFFFFF"/>
        </w:rPr>
        <w:t>.</w:t>
      </w:r>
    </w:p>
    <w:p w:rsidR="009C3529" w:rsidRPr="009266D1" w:rsidRDefault="00905FD9" w:rsidP="00E04C6C">
      <w:pPr>
        <w:spacing w:after="0" w:line="480" w:lineRule="auto"/>
        <w:rPr>
          <w:rFonts w:ascii="Times New Roman" w:eastAsia="Times New Roman" w:hAnsi="Times New Roman" w:cs="Times New Roman"/>
          <w:b/>
          <w:sz w:val="24"/>
          <w:szCs w:val="24"/>
        </w:rPr>
      </w:pPr>
      <w:r w:rsidRPr="009266D1">
        <w:rPr>
          <w:rFonts w:ascii="Times New Roman" w:eastAsia="Times New Roman" w:hAnsi="Times New Roman" w:cs="Times New Roman"/>
          <w:b/>
          <w:sz w:val="24"/>
          <w:szCs w:val="24"/>
        </w:rPr>
        <w:t>2. Unemployment Rate</w:t>
      </w:r>
    </w:p>
    <w:p w:rsidR="00905FD9" w:rsidRPr="00905FD9" w:rsidRDefault="00905FD9" w:rsidP="00E04C6C">
      <w:pPr>
        <w:spacing w:after="0" w:line="480" w:lineRule="auto"/>
        <w:rPr>
          <w:rFonts w:ascii="Times New Roman" w:eastAsia="Times New Roman" w:hAnsi="Times New Roman" w:cs="Times New Roman"/>
          <w:sz w:val="24"/>
          <w:szCs w:val="24"/>
        </w:rPr>
      </w:pPr>
      <w:r w:rsidRPr="00905FD9">
        <w:rPr>
          <w:rFonts w:ascii="Times New Roman" w:hAnsi="Times New Roman" w:cs="Times New Roman"/>
          <w:sz w:val="24"/>
          <w:szCs w:val="24"/>
          <w:shd w:val="clear" w:color="auto" w:fill="FFFFFF"/>
        </w:rPr>
        <w:t>The unemployment rate is the share of the labor force that is jobless, expressed as a percentage. It is a </w:t>
      </w:r>
      <w:hyperlink r:id="rId7" w:history="1">
        <w:r w:rsidRPr="00905FD9">
          <w:rPr>
            <w:rStyle w:val="Hyperlink"/>
            <w:rFonts w:ascii="Times New Roman" w:hAnsi="Times New Roman" w:cs="Times New Roman"/>
            <w:color w:val="auto"/>
            <w:sz w:val="24"/>
            <w:szCs w:val="24"/>
            <w:u w:val="none"/>
            <w:shd w:val="clear" w:color="auto" w:fill="FFFFFF"/>
          </w:rPr>
          <w:t>lagging indicator</w:t>
        </w:r>
      </w:hyperlink>
      <w:r w:rsidRPr="00905FD9">
        <w:rPr>
          <w:rFonts w:ascii="Times New Roman" w:hAnsi="Times New Roman" w:cs="Times New Roman"/>
          <w:sz w:val="24"/>
          <w:szCs w:val="24"/>
          <w:shd w:val="clear" w:color="auto" w:fill="FFFFFF"/>
        </w:rPr>
        <w:t>, meaning that it generally rises or falls in the wake of changing economic conditions, rather than anticipating them</w:t>
      </w:r>
      <w:r>
        <w:rPr>
          <w:rFonts w:ascii="Times New Roman" w:hAnsi="Times New Roman" w:cs="Times New Roman"/>
          <w:sz w:val="24"/>
          <w:szCs w:val="24"/>
          <w:shd w:val="clear" w:color="auto" w:fill="FFFFFF"/>
        </w:rPr>
        <w:t>.</w:t>
      </w:r>
    </w:p>
    <w:p w:rsidR="00905FD9" w:rsidRDefault="00905FD9" w:rsidP="00E04C6C">
      <w:pPr>
        <w:spacing w:after="0" w:line="480" w:lineRule="auto"/>
        <w:rPr>
          <w:rFonts w:ascii="Times New Roman" w:hAnsi="Times New Roman" w:cs="Times New Roman"/>
          <w:sz w:val="24"/>
          <w:szCs w:val="24"/>
          <w:shd w:val="clear" w:color="auto" w:fill="FFFFFF"/>
        </w:rPr>
      </w:pPr>
      <w:r w:rsidRPr="00905FD9">
        <w:rPr>
          <w:rFonts w:ascii="Times New Roman" w:hAnsi="Times New Roman" w:cs="Times New Roman"/>
          <w:sz w:val="24"/>
          <w:szCs w:val="24"/>
          <w:shd w:val="clear" w:color="auto" w:fill="FFFFFF"/>
        </w:rPr>
        <w:t>According to the </w:t>
      </w:r>
      <w:hyperlink r:id="rId8" w:history="1">
        <w:r w:rsidRPr="00905FD9">
          <w:rPr>
            <w:rStyle w:val="Hyperlink"/>
            <w:rFonts w:ascii="Times New Roman" w:hAnsi="Times New Roman" w:cs="Times New Roman"/>
            <w:color w:val="auto"/>
            <w:sz w:val="24"/>
            <w:szCs w:val="24"/>
            <w:u w:val="none"/>
            <w:bdr w:val="none" w:sz="0" w:space="0" w:color="auto" w:frame="1"/>
            <w:shd w:val="clear" w:color="auto" w:fill="FFFFFF"/>
          </w:rPr>
          <w:t>BLS current population survey (CPS)</w:t>
        </w:r>
      </w:hyperlink>
      <w:r w:rsidRPr="00905FD9">
        <w:rPr>
          <w:rFonts w:ascii="Times New Roman" w:hAnsi="Times New Roman" w:cs="Times New Roman"/>
          <w:sz w:val="24"/>
          <w:szCs w:val="24"/>
          <w:shd w:val="clear" w:color="auto" w:fill="FFFFFF"/>
        </w:rPr>
        <w:t>, </w:t>
      </w:r>
      <w:r w:rsidRPr="00905FD9">
        <w:rPr>
          <w:rStyle w:val="Strong"/>
          <w:rFonts w:ascii="Times New Roman" w:hAnsi="Times New Roman" w:cs="Times New Roman"/>
          <w:b w:val="0"/>
          <w:sz w:val="24"/>
          <w:szCs w:val="24"/>
          <w:shd w:val="clear" w:color="auto" w:fill="FFFFFF"/>
        </w:rPr>
        <w:t>the unemployment rate for Arizona fell 0.1 percentage points in December 2019 to 4.6%</w:t>
      </w:r>
      <w:r w:rsidRPr="00905FD9">
        <w:rPr>
          <w:rFonts w:ascii="Times New Roman" w:hAnsi="Times New Roman" w:cs="Times New Roman"/>
          <w:b/>
          <w:sz w:val="24"/>
          <w:szCs w:val="24"/>
          <w:shd w:val="clear" w:color="auto" w:fill="FFFFFF"/>
        </w:rPr>
        <w:t>.</w:t>
      </w:r>
      <w:r w:rsidRPr="00905FD9">
        <w:rPr>
          <w:rFonts w:ascii="Times New Roman" w:hAnsi="Times New Roman" w:cs="Times New Roman"/>
          <w:sz w:val="24"/>
          <w:szCs w:val="24"/>
          <w:shd w:val="clear" w:color="auto" w:fill="FFFFFF"/>
        </w:rPr>
        <w:t xml:space="preserve"> The state unemployment rate was 1.1 percentage points higher than the national rate for the month. The unemployment rate in Arizona peaked in November 2009 at 10.9% and is now 6.3 percentage points lower</w:t>
      </w:r>
      <w:r w:rsidR="009266D1">
        <w:rPr>
          <w:rFonts w:ascii="Times New Roman" w:hAnsi="Times New Roman" w:cs="Times New Roman"/>
          <w:sz w:val="24"/>
          <w:szCs w:val="24"/>
          <w:shd w:val="clear" w:color="auto" w:fill="FFFFFF"/>
        </w:rPr>
        <w:t>.</w:t>
      </w:r>
    </w:p>
    <w:p w:rsidR="009266D1" w:rsidRDefault="009266D1" w:rsidP="00E04C6C">
      <w:pPr>
        <w:spacing w:after="0" w:line="480" w:lineRule="auto"/>
        <w:rPr>
          <w:rFonts w:ascii="Times New Roman" w:eastAsia="Times New Roman" w:hAnsi="Times New Roman" w:cs="Times New Roman"/>
          <w:b/>
          <w:sz w:val="24"/>
          <w:szCs w:val="24"/>
        </w:rPr>
      </w:pPr>
      <w:r w:rsidRPr="009266D1">
        <w:rPr>
          <w:rFonts w:ascii="Times New Roman" w:eastAsia="Times New Roman" w:hAnsi="Times New Roman" w:cs="Times New Roman"/>
          <w:b/>
          <w:sz w:val="24"/>
          <w:szCs w:val="24"/>
        </w:rPr>
        <w:t>3. Inflation</w:t>
      </w:r>
    </w:p>
    <w:p w:rsidR="009266D1" w:rsidRDefault="009266D1" w:rsidP="00E04C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is defined as the general increase in prices of goods and services. In the recent past, the inflation rates in Arizona State have been on the decrease. It recorded a 0.6% decrease.</w:t>
      </w:r>
    </w:p>
    <w:p w:rsidR="009266D1" w:rsidRDefault="009266D1" w:rsidP="00E04C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decline was attributed to lower prices for electricity and Medicare.</w:t>
      </w:r>
    </w:p>
    <w:p w:rsidR="009266D1" w:rsidRDefault="009266D1" w:rsidP="00E04C6C">
      <w:pPr>
        <w:spacing w:after="0" w:line="480" w:lineRule="auto"/>
        <w:rPr>
          <w:rFonts w:ascii="Times New Roman" w:eastAsia="Times New Roman" w:hAnsi="Times New Roman" w:cs="Times New Roman"/>
          <w:b/>
          <w:sz w:val="24"/>
          <w:szCs w:val="24"/>
        </w:rPr>
      </w:pPr>
      <w:r w:rsidRPr="009266D1">
        <w:rPr>
          <w:rFonts w:ascii="Times New Roman" w:eastAsia="Times New Roman" w:hAnsi="Times New Roman" w:cs="Times New Roman"/>
          <w:b/>
          <w:sz w:val="24"/>
          <w:szCs w:val="24"/>
        </w:rPr>
        <w:t>4. Demand and disposable income</w:t>
      </w:r>
    </w:p>
    <w:p w:rsidR="009266D1" w:rsidRDefault="001635DE" w:rsidP="00E04C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Demand refers to the quantities of goods and services a buyer is willing and able to buy at the existing market rate.</w:t>
      </w:r>
    </w:p>
    <w:p w:rsidR="001635DE" w:rsidRDefault="001635DE" w:rsidP="00E04C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Disposable income is the income remaining after deduction of taxes and social security charges available to be spent or saved as one wishes.</w:t>
      </w:r>
    </w:p>
    <w:p w:rsidR="001635DE" w:rsidRDefault="001635DE" w:rsidP="00E04C6C">
      <w:pPr>
        <w:spacing w:after="0" w:line="480" w:lineRule="auto"/>
        <w:rPr>
          <w:rFonts w:ascii="Times New Roman" w:hAnsi="Times New Roman" w:cs="Times New Roman"/>
          <w:sz w:val="24"/>
          <w:szCs w:val="24"/>
        </w:rPr>
      </w:pPr>
      <w:r w:rsidRPr="001635DE">
        <w:rPr>
          <w:rFonts w:ascii="Times New Roman" w:hAnsi="Times New Roman" w:cs="Times New Roman"/>
          <w:sz w:val="24"/>
          <w:szCs w:val="24"/>
        </w:rPr>
        <w:t xml:space="preserve">Per capita disposable personal income in Arizona </w:t>
      </w:r>
      <w:r>
        <w:rPr>
          <w:rFonts w:ascii="Times New Roman" w:hAnsi="Times New Roman" w:cs="Times New Roman"/>
          <w:sz w:val="24"/>
          <w:szCs w:val="24"/>
        </w:rPr>
        <w:t xml:space="preserve">state, </w:t>
      </w:r>
      <w:r w:rsidRPr="001635DE">
        <w:rPr>
          <w:rFonts w:ascii="Times New Roman" w:hAnsi="Times New Roman" w:cs="Times New Roman"/>
          <w:sz w:val="24"/>
          <w:szCs w:val="24"/>
        </w:rPr>
        <w:t xml:space="preserve">rose </w:t>
      </w:r>
      <w:r>
        <w:rPr>
          <w:rFonts w:ascii="Times New Roman" w:hAnsi="Times New Roman" w:cs="Times New Roman"/>
          <w:sz w:val="24"/>
          <w:szCs w:val="24"/>
        </w:rPr>
        <w:t xml:space="preserve">by </w:t>
      </w:r>
      <w:r w:rsidRPr="001635DE">
        <w:rPr>
          <w:rFonts w:ascii="Times New Roman" w:hAnsi="Times New Roman" w:cs="Times New Roman"/>
          <w:sz w:val="24"/>
          <w:szCs w:val="24"/>
        </w:rPr>
        <w:t>less than 5 percent between 2006 and 2011, the lowest rate of any state in the nation besides Nevada.</w:t>
      </w:r>
      <w:r>
        <w:rPr>
          <w:rFonts w:ascii="Times New Roman" w:hAnsi="Times New Roman" w:cs="Times New Roman"/>
          <w:sz w:val="24"/>
          <w:szCs w:val="24"/>
        </w:rPr>
        <w:t xml:space="preserve"> Low disposable </w:t>
      </w:r>
      <w:r>
        <w:rPr>
          <w:rFonts w:ascii="Times New Roman" w:hAnsi="Times New Roman" w:cs="Times New Roman"/>
          <w:sz w:val="24"/>
          <w:szCs w:val="24"/>
        </w:rPr>
        <w:lastRenderedPageBreak/>
        <w:t xml:space="preserve">income means that demand for goods and services will </w:t>
      </w:r>
      <w:r w:rsidR="00FF7042">
        <w:rPr>
          <w:rFonts w:ascii="Times New Roman" w:hAnsi="Times New Roman" w:cs="Times New Roman"/>
          <w:sz w:val="24"/>
          <w:szCs w:val="24"/>
        </w:rPr>
        <w:t>generally be low as people have no much income left to spend after taxes and social security charges have been deducted.</w:t>
      </w:r>
    </w:p>
    <w:p w:rsidR="00FF7042" w:rsidRDefault="00FF7042" w:rsidP="00E04C6C">
      <w:pPr>
        <w:spacing w:after="0" w:line="480" w:lineRule="auto"/>
        <w:rPr>
          <w:rFonts w:ascii="Times New Roman" w:eastAsia="Times New Roman" w:hAnsi="Times New Roman" w:cs="Times New Roman"/>
          <w:b/>
          <w:sz w:val="24"/>
          <w:szCs w:val="24"/>
        </w:rPr>
      </w:pPr>
      <w:r w:rsidRPr="00FF7042">
        <w:rPr>
          <w:rFonts w:ascii="Times New Roman" w:eastAsia="Times New Roman" w:hAnsi="Times New Roman" w:cs="Times New Roman"/>
          <w:b/>
          <w:sz w:val="24"/>
          <w:szCs w:val="24"/>
        </w:rPr>
        <w:t>5. Agriculture and Education</w:t>
      </w:r>
    </w:p>
    <w:p w:rsidR="00FF7042" w:rsidRPr="007121E1" w:rsidRDefault="00FF7042" w:rsidP="00FF7042">
      <w:pPr>
        <w:pStyle w:val="initial"/>
        <w:shd w:val="clear" w:color="auto" w:fill="FFFFFF"/>
      </w:pPr>
      <w:r w:rsidRPr="007121E1">
        <w:t xml:space="preserve">Arizona's agricultural output is </w:t>
      </w:r>
      <w:r w:rsidR="007121E1" w:rsidRPr="007121E1">
        <w:t>evenly</w:t>
      </w:r>
      <w:r w:rsidRPr="007121E1">
        <w:t xml:space="preserve"> distributed between crops and livestock. About 47% of Arizona's agricultural production is in livestock. The other 53% is in crops.</w:t>
      </w:r>
    </w:p>
    <w:p w:rsidR="00FF7042" w:rsidRDefault="00FF7042" w:rsidP="00FF7042">
      <w:pPr>
        <w:pStyle w:val="initial"/>
        <w:shd w:val="clear" w:color="auto" w:fill="FFFFFF"/>
        <w:rPr>
          <w:color w:val="000000"/>
          <w:sz w:val="27"/>
          <w:szCs w:val="27"/>
        </w:rPr>
      </w:pPr>
      <w:r w:rsidRPr="007121E1">
        <w:t>In terms of revenue generated, Arizona's top five</w:t>
      </w:r>
      <w:r w:rsidRPr="007121E1">
        <w:rPr>
          <w:sz w:val="27"/>
          <w:szCs w:val="27"/>
        </w:rPr>
        <w:t xml:space="preserve"> </w:t>
      </w:r>
      <w:r>
        <w:rPr>
          <w:color w:val="000000"/>
          <w:sz w:val="27"/>
          <w:szCs w:val="27"/>
        </w:rPr>
        <w:t>agricultural products are cattle and calves, lettuce, dairy products, cotton, and hay.</w:t>
      </w:r>
    </w:p>
    <w:p w:rsidR="007121E1" w:rsidRDefault="007121E1" w:rsidP="007121E1">
      <w:pPr>
        <w:pStyle w:val="NormalWeb"/>
        <w:spacing w:before="0" w:beforeAutospacing="0" w:after="0" w:afterAutospacing="0" w:line="480" w:lineRule="auto"/>
        <w:ind w:firstLine="720"/>
      </w:pPr>
      <w:r>
        <w:t xml:space="preserve">As discussed earlier, </w:t>
      </w:r>
      <w:r w:rsidRPr="002A0271">
        <w:t xml:space="preserve">Arizona </w:t>
      </w:r>
      <w:r>
        <w:t xml:space="preserve">is </w:t>
      </w:r>
      <w:r w:rsidRPr="002A0271">
        <w:t xml:space="preserve">ranked 45th among the 50 states </w:t>
      </w:r>
      <w:r>
        <w:t xml:space="preserve">and the District of Columbia in </w:t>
      </w:r>
      <w:r w:rsidRPr="002A0271">
        <w:t>the </w:t>
      </w:r>
      <w:hyperlink r:id="rId9" w:tgtFrame="_blank" w:history="1">
        <w:r w:rsidRPr="007121E1">
          <w:rPr>
            <w:rStyle w:val="Hyperlink"/>
            <w:color w:val="auto"/>
            <w:u w:val="none"/>
          </w:rPr>
          <w:t>“Education Week” rankings</w:t>
        </w:r>
      </w:hyperlink>
      <w:r w:rsidRPr="007121E1">
        <w:t> </w:t>
      </w:r>
      <w:r>
        <w:t xml:space="preserve">for </w:t>
      </w:r>
      <w:r w:rsidRPr="002A0271">
        <w:t>2018, with a score of 68.7. But the U.S. as a whole didn’t score much higher: It got a C. Only 12 states received</w:t>
      </w:r>
      <w:r>
        <w:t xml:space="preserve"> higher than a C+ overall score with Arizona scoring a D+.</w:t>
      </w:r>
    </w:p>
    <w:p w:rsidR="007121E1" w:rsidRDefault="007121E1" w:rsidP="007121E1">
      <w:pPr>
        <w:pStyle w:val="NormalWeb"/>
        <w:spacing w:before="0" w:beforeAutospacing="0" w:after="0" w:afterAutospacing="0" w:line="480" w:lineRule="auto"/>
        <w:ind w:firstLine="720"/>
      </w:pPr>
      <w:r>
        <w:t>This means that her education quality is relatively lower as compared to other states in the US. Education is a key factor to any country’s growth and development. With quality education, sound policies will be put in place which will in turn boost a country’s economic growth.</w:t>
      </w:r>
    </w:p>
    <w:p w:rsidR="0057214C" w:rsidRDefault="0057214C" w:rsidP="007121E1">
      <w:pPr>
        <w:pStyle w:val="NormalWeb"/>
        <w:spacing w:before="0" w:beforeAutospacing="0" w:after="0" w:afterAutospacing="0" w:line="480" w:lineRule="auto"/>
        <w:ind w:firstLine="720"/>
      </w:pPr>
    </w:p>
    <w:tbl>
      <w:tblPr>
        <w:tblW w:w="10259" w:type="dxa"/>
        <w:tblInd w:w="-10" w:type="dxa"/>
        <w:tblLook w:val="04A0" w:firstRow="1" w:lastRow="0" w:firstColumn="1" w:lastColumn="0" w:noHBand="0" w:noVBand="1"/>
      </w:tblPr>
      <w:tblGrid>
        <w:gridCol w:w="960"/>
        <w:gridCol w:w="941"/>
        <w:gridCol w:w="941"/>
        <w:gridCol w:w="941"/>
        <w:gridCol w:w="941"/>
        <w:gridCol w:w="941"/>
        <w:gridCol w:w="941"/>
        <w:gridCol w:w="941"/>
        <w:gridCol w:w="941"/>
        <w:gridCol w:w="830"/>
        <w:gridCol w:w="941"/>
      </w:tblGrid>
      <w:tr w:rsidR="0057214C" w:rsidRPr="0057214C" w:rsidTr="00FA65D3">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rPr>
                <w:rFonts w:ascii="Calibri" w:eastAsia="Times New Roman" w:hAnsi="Calibri" w:cs="Calibri"/>
                <w:color w:val="000000"/>
                <w:lang w:eastAsia="en-GB"/>
              </w:rPr>
            </w:pPr>
            <w:r w:rsidRPr="0057214C">
              <w:rPr>
                <w:rFonts w:ascii="Calibri" w:eastAsia="Times New Roman" w:hAnsi="Calibri" w:cs="Calibri"/>
                <w:color w:val="000000"/>
                <w:lang w:eastAsia="en-GB"/>
              </w:rPr>
              <w:t>Year</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2009</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2010</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2011</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2012</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2013</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2014</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2015</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2016</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2017</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2018</w:t>
            </w:r>
          </w:p>
        </w:tc>
      </w:tr>
      <w:tr w:rsidR="0057214C" w:rsidRPr="0057214C" w:rsidTr="00FA65D3">
        <w:trPr>
          <w:trHeight w:val="900"/>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57214C" w:rsidRPr="0057214C" w:rsidRDefault="0057214C" w:rsidP="0057214C">
            <w:pPr>
              <w:spacing w:after="0" w:line="240" w:lineRule="auto"/>
              <w:rPr>
                <w:rFonts w:ascii="Calibri" w:eastAsia="Times New Roman" w:hAnsi="Calibri" w:cs="Calibri"/>
                <w:color w:val="000000"/>
                <w:lang w:eastAsia="en-GB"/>
              </w:rPr>
            </w:pPr>
            <w:r w:rsidRPr="0057214C">
              <w:rPr>
                <w:rFonts w:ascii="Calibri" w:eastAsia="Times New Roman" w:hAnsi="Calibri" w:cs="Calibri"/>
                <w:color w:val="000000"/>
                <w:lang w:eastAsia="en-GB"/>
              </w:rPr>
              <w:t>GDP (in Millions of dollar)</w:t>
            </w:r>
          </w:p>
        </w:tc>
        <w:tc>
          <w:tcPr>
            <w:tcW w:w="941" w:type="dxa"/>
            <w:tcBorders>
              <w:top w:val="nil"/>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242.509</w:t>
            </w:r>
          </w:p>
        </w:tc>
        <w:tc>
          <w:tcPr>
            <w:tcW w:w="941" w:type="dxa"/>
            <w:tcBorders>
              <w:top w:val="nil"/>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243.101</w:t>
            </w:r>
          </w:p>
        </w:tc>
        <w:tc>
          <w:tcPr>
            <w:tcW w:w="941" w:type="dxa"/>
            <w:tcBorders>
              <w:top w:val="nil"/>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247.414</w:t>
            </w:r>
          </w:p>
        </w:tc>
        <w:tc>
          <w:tcPr>
            <w:tcW w:w="941" w:type="dxa"/>
            <w:tcBorders>
              <w:top w:val="nil"/>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252.545</w:t>
            </w:r>
          </w:p>
        </w:tc>
        <w:tc>
          <w:tcPr>
            <w:tcW w:w="941" w:type="dxa"/>
            <w:tcBorders>
              <w:top w:val="nil"/>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253.743</w:t>
            </w:r>
          </w:p>
        </w:tc>
        <w:tc>
          <w:tcPr>
            <w:tcW w:w="941" w:type="dxa"/>
            <w:tcBorders>
              <w:top w:val="nil"/>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258.228</w:t>
            </w:r>
          </w:p>
        </w:tc>
        <w:tc>
          <w:tcPr>
            <w:tcW w:w="941" w:type="dxa"/>
            <w:tcBorders>
              <w:top w:val="nil"/>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261.891</w:t>
            </w:r>
          </w:p>
        </w:tc>
        <w:tc>
          <w:tcPr>
            <w:tcW w:w="941" w:type="dxa"/>
            <w:tcBorders>
              <w:top w:val="nil"/>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267.472</w:t>
            </w:r>
          </w:p>
        </w:tc>
        <w:tc>
          <w:tcPr>
            <w:tcW w:w="830" w:type="dxa"/>
            <w:tcBorders>
              <w:top w:val="nil"/>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268.74</w:t>
            </w:r>
          </w:p>
        </w:tc>
        <w:tc>
          <w:tcPr>
            <w:tcW w:w="941" w:type="dxa"/>
            <w:tcBorders>
              <w:top w:val="nil"/>
              <w:left w:val="nil"/>
              <w:bottom w:val="single" w:sz="4" w:space="0" w:color="auto"/>
              <w:right w:val="single" w:sz="4" w:space="0" w:color="auto"/>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r w:rsidRPr="0057214C">
              <w:rPr>
                <w:rFonts w:ascii="Calibri" w:eastAsia="Times New Roman" w:hAnsi="Calibri" w:cs="Calibri"/>
                <w:color w:val="000000"/>
                <w:lang w:eastAsia="en-GB"/>
              </w:rPr>
              <w:t>269.024</w:t>
            </w:r>
          </w:p>
        </w:tc>
      </w:tr>
      <w:tr w:rsidR="0057214C" w:rsidRPr="0057214C" w:rsidTr="00FA65D3">
        <w:trPr>
          <w:trHeight w:val="300"/>
        </w:trPr>
        <w:tc>
          <w:tcPr>
            <w:tcW w:w="960" w:type="dxa"/>
            <w:tcBorders>
              <w:top w:val="nil"/>
              <w:left w:val="nil"/>
              <w:bottom w:val="nil"/>
              <w:right w:val="nil"/>
            </w:tcBorders>
            <w:shd w:val="clear" w:color="auto" w:fill="auto"/>
            <w:noWrap/>
            <w:vAlign w:val="bottom"/>
            <w:hideMark/>
          </w:tcPr>
          <w:p w:rsidR="0057214C" w:rsidRPr="0057214C" w:rsidRDefault="0057214C" w:rsidP="0057214C">
            <w:pPr>
              <w:spacing w:after="0" w:line="240" w:lineRule="auto"/>
              <w:jc w:val="right"/>
              <w:rPr>
                <w:rFonts w:ascii="Calibri" w:eastAsia="Times New Roman" w:hAnsi="Calibri" w:cs="Calibri"/>
                <w:color w:val="000000"/>
                <w:lang w:eastAsia="en-GB"/>
              </w:rPr>
            </w:pPr>
          </w:p>
        </w:tc>
        <w:tc>
          <w:tcPr>
            <w:tcW w:w="941" w:type="dxa"/>
            <w:tcBorders>
              <w:top w:val="nil"/>
              <w:left w:val="nil"/>
              <w:bottom w:val="nil"/>
              <w:right w:val="nil"/>
            </w:tcBorders>
            <w:shd w:val="clear" w:color="auto" w:fill="auto"/>
            <w:noWrap/>
            <w:vAlign w:val="bottom"/>
            <w:hideMark/>
          </w:tcPr>
          <w:p w:rsidR="0057214C" w:rsidRPr="0057214C" w:rsidRDefault="0057214C" w:rsidP="0057214C">
            <w:pPr>
              <w:spacing w:after="0" w:line="240" w:lineRule="auto"/>
              <w:rPr>
                <w:rFonts w:ascii="Times New Roman" w:eastAsia="Times New Roman" w:hAnsi="Times New Roman" w:cs="Times New Roman"/>
                <w:sz w:val="20"/>
                <w:szCs w:val="20"/>
                <w:lang w:eastAsia="en-GB"/>
              </w:rPr>
            </w:pPr>
          </w:p>
        </w:tc>
        <w:tc>
          <w:tcPr>
            <w:tcW w:w="941" w:type="dxa"/>
            <w:tcBorders>
              <w:top w:val="nil"/>
              <w:left w:val="nil"/>
              <w:bottom w:val="nil"/>
              <w:right w:val="nil"/>
            </w:tcBorders>
            <w:shd w:val="clear" w:color="auto" w:fill="auto"/>
            <w:noWrap/>
            <w:vAlign w:val="bottom"/>
            <w:hideMark/>
          </w:tcPr>
          <w:p w:rsidR="0057214C" w:rsidRPr="0057214C" w:rsidRDefault="0057214C" w:rsidP="0057214C">
            <w:pPr>
              <w:spacing w:after="0" w:line="240" w:lineRule="auto"/>
              <w:rPr>
                <w:rFonts w:ascii="Times New Roman" w:eastAsia="Times New Roman" w:hAnsi="Times New Roman" w:cs="Times New Roman"/>
                <w:sz w:val="20"/>
                <w:szCs w:val="20"/>
                <w:lang w:eastAsia="en-GB"/>
              </w:rPr>
            </w:pPr>
          </w:p>
        </w:tc>
        <w:tc>
          <w:tcPr>
            <w:tcW w:w="941" w:type="dxa"/>
            <w:tcBorders>
              <w:top w:val="nil"/>
              <w:left w:val="nil"/>
              <w:bottom w:val="nil"/>
              <w:right w:val="nil"/>
            </w:tcBorders>
            <w:shd w:val="clear" w:color="auto" w:fill="auto"/>
            <w:noWrap/>
            <w:vAlign w:val="bottom"/>
            <w:hideMark/>
          </w:tcPr>
          <w:p w:rsidR="0057214C" w:rsidRPr="0057214C" w:rsidRDefault="0057214C" w:rsidP="0057214C">
            <w:pPr>
              <w:spacing w:after="0" w:line="240" w:lineRule="auto"/>
              <w:rPr>
                <w:rFonts w:ascii="Times New Roman" w:eastAsia="Times New Roman" w:hAnsi="Times New Roman" w:cs="Times New Roman"/>
                <w:sz w:val="20"/>
                <w:szCs w:val="20"/>
                <w:lang w:eastAsia="en-GB"/>
              </w:rPr>
            </w:pPr>
          </w:p>
        </w:tc>
        <w:tc>
          <w:tcPr>
            <w:tcW w:w="941" w:type="dxa"/>
            <w:tcBorders>
              <w:top w:val="nil"/>
              <w:left w:val="nil"/>
              <w:bottom w:val="nil"/>
              <w:right w:val="nil"/>
            </w:tcBorders>
            <w:shd w:val="clear" w:color="auto" w:fill="auto"/>
            <w:noWrap/>
            <w:vAlign w:val="bottom"/>
            <w:hideMark/>
          </w:tcPr>
          <w:p w:rsidR="0057214C" w:rsidRPr="0057214C" w:rsidRDefault="0057214C" w:rsidP="0057214C">
            <w:pPr>
              <w:spacing w:after="0" w:line="240" w:lineRule="auto"/>
              <w:rPr>
                <w:rFonts w:ascii="Times New Roman" w:eastAsia="Times New Roman" w:hAnsi="Times New Roman" w:cs="Times New Roman"/>
                <w:sz w:val="20"/>
                <w:szCs w:val="20"/>
                <w:lang w:eastAsia="en-GB"/>
              </w:rPr>
            </w:pPr>
          </w:p>
        </w:tc>
        <w:tc>
          <w:tcPr>
            <w:tcW w:w="941" w:type="dxa"/>
            <w:tcBorders>
              <w:top w:val="nil"/>
              <w:left w:val="nil"/>
              <w:bottom w:val="nil"/>
              <w:right w:val="nil"/>
            </w:tcBorders>
            <w:shd w:val="clear" w:color="auto" w:fill="auto"/>
            <w:noWrap/>
            <w:vAlign w:val="bottom"/>
            <w:hideMark/>
          </w:tcPr>
          <w:p w:rsidR="0057214C" w:rsidRPr="0057214C" w:rsidRDefault="0057214C" w:rsidP="0057214C">
            <w:pPr>
              <w:spacing w:after="0" w:line="240" w:lineRule="auto"/>
              <w:rPr>
                <w:rFonts w:ascii="Times New Roman" w:eastAsia="Times New Roman" w:hAnsi="Times New Roman" w:cs="Times New Roman"/>
                <w:sz w:val="20"/>
                <w:szCs w:val="20"/>
                <w:lang w:eastAsia="en-GB"/>
              </w:rPr>
            </w:pPr>
          </w:p>
        </w:tc>
        <w:tc>
          <w:tcPr>
            <w:tcW w:w="941" w:type="dxa"/>
            <w:tcBorders>
              <w:top w:val="nil"/>
              <w:left w:val="nil"/>
              <w:bottom w:val="nil"/>
              <w:right w:val="nil"/>
            </w:tcBorders>
            <w:shd w:val="clear" w:color="auto" w:fill="auto"/>
            <w:noWrap/>
            <w:vAlign w:val="bottom"/>
            <w:hideMark/>
          </w:tcPr>
          <w:p w:rsidR="0057214C" w:rsidRPr="0057214C" w:rsidRDefault="0057214C" w:rsidP="0057214C">
            <w:pPr>
              <w:spacing w:after="0" w:line="240" w:lineRule="auto"/>
              <w:rPr>
                <w:rFonts w:ascii="Times New Roman" w:eastAsia="Times New Roman" w:hAnsi="Times New Roman" w:cs="Times New Roman"/>
                <w:sz w:val="20"/>
                <w:szCs w:val="20"/>
                <w:lang w:eastAsia="en-GB"/>
              </w:rPr>
            </w:pPr>
          </w:p>
        </w:tc>
        <w:tc>
          <w:tcPr>
            <w:tcW w:w="941" w:type="dxa"/>
            <w:tcBorders>
              <w:top w:val="nil"/>
              <w:left w:val="nil"/>
              <w:bottom w:val="nil"/>
              <w:right w:val="nil"/>
            </w:tcBorders>
            <w:shd w:val="clear" w:color="auto" w:fill="auto"/>
            <w:noWrap/>
            <w:vAlign w:val="bottom"/>
            <w:hideMark/>
          </w:tcPr>
          <w:p w:rsidR="0057214C" w:rsidRPr="0057214C" w:rsidRDefault="0057214C" w:rsidP="0057214C">
            <w:pPr>
              <w:spacing w:after="0" w:line="240" w:lineRule="auto"/>
              <w:rPr>
                <w:rFonts w:ascii="Times New Roman" w:eastAsia="Times New Roman" w:hAnsi="Times New Roman" w:cs="Times New Roman"/>
                <w:sz w:val="20"/>
                <w:szCs w:val="20"/>
                <w:lang w:eastAsia="en-GB"/>
              </w:rPr>
            </w:pPr>
          </w:p>
        </w:tc>
        <w:tc>
          <w:tcPr>
            <w:tcW w:w="941" w:type="dxa"/>
            <w:tcBorders>
              <w:top w:val="nil"/>
              <w:left w:val="nil"/>
              <w:bottom w:val="nil"/>
              <w:right w:val="nil"/>
            </w:tcBorders>
            <w:shd w:val="clear" w:color="auto" w:fill="auto"/>
            <w:noWrap/>
            <w:vAlign w:val="bottom"/>
            <w:hideMark/>
          </w:tcPr>
          <w:p w:rsidR="0057214C" w:rsidRPr="0057214C" w:rsidRDefault="0057214C" w:rsidP="0057214C">
            <w:pPr>
              <w:spacing w:after="0" w:line="240" w:lineRule="auto"/>
              <w:rPr>
                <w:rFonts w:ascii="Times New Roman" w:eastAsia="Times New Roman" w:hAnsi="Times New Roman" w:cs="Times New Roman"/>
                <w:sz w:val="20"/>
                <w:szCs w:val="20"/>
                <w:lang w:eastAsia="en-GB"/>
              </w:rPr>
            </w:pPr>
          </w:p>
        </w:tc>
        <w:tc>
          <w:tcPr>
            <w:tcW w:w="830" w:type="dxa"/>
            <w:tcBorders>
              <w:top w:val="nil"/>
              <w:left w:val="nil"/>
              <w:bottom w:val="nil"/>
              <w:right w:val="nil"/>
            </w:tcBorders>
            <w:shd w:val="clear" w:color="auto" w:fill="auto"/>
            <w:noWrap/>
            <w:vAlign w:val="bottom"/>
            <w:hideMark/>
          </w:tcPr>
          <w:p w:rsidR="0057214C" w:rsidRPr="0057214C" w:rsidRDefault="0057214C" w:rsidP="0057214C">
            <w:pPr>
              <w:spacing w:after="0" w:line="240" w:lineRule="auto"/>
              <w:rPr>
                <w:rFonts w:ascii="Times New Roman" w:eastAsia="Times New Roman" w:hAnsi="Times New Roman" w:cs="Times New Roman"/>
                <w:sz w:val="20"/>
                <w:szCs w:val="20"/>
                <w:lang w:eastAsia="en-GB"/>
              </w:rPr>
            </w:pPr>
          </w:p>
        </w:tc>
        <w:tc>
          <w:tcPr>
            <w:tcW w:w="941" w:type="dxa"/>
            <w:tcBorders>
              <w:top w:val="nil"/>
              <w:left w:val="nil"/>
              <w:bottom w:val="nil"/>
              <w:right w:val="nil"/>
            </w:tcBorders>
            <w:shd w:val="clear" w:color="auto" w:fill="auto"/>
            <w:noWrap/>
            <w:vAlign w:val="bottom"/>
            <w:hideMark/>
          </w:tcPr>
          <w:p w:rsidR="0057214C" w:rsidRPr="0057214C" w:rsidRDefault="0057214C" w:rsidP="0057214C">
            <w:pPr>
              <w:spacing w:after="0" w:line="240" w:lineRule="auto"/>
              <w:rPr>
                <w:rFonts w:ascii="Times New Roman" w:eastAsia="Times New Roman" w:hAnsi="Times New Roman" w:cs="Times New Roman"/>
                <w:sz w:val="20"/>
                <w:szCs w:val="20"/>
                <w:lang w:eastAsia="en-GB"/>
              </w:rPr>
            </w:pPr>
          </w:p>
        </w:tc>
      </w:tr>
      <w:tr w:rsidR="0057214C" w:rsidRPr="0057214C" w:rsidTr="00FA65D3">
        <w:trPr>
          <w:trHeight w:val="300"/>
        </w:trPr>
        <w:tc>
          <w:tcPr>
            <w:tcW w:w="8488" w:type="dxa"/>
            <w:gridSpan w:val="9"/>
            <w:tcBorders>
              <w:top w:val="nil"/>
              <w:left w:val="nil"/>
              <w:bottom w:val="nil"/>
              <w:right w:val="nil"/>
            </w:tcBorders>
            <w:shd w:val="clear" w:color="auto" w:fill="auto"/>
            <w:noWrap/>
            <w:vAlign w:val="bottom"/>
            <w:hideMark/>
          </w:tcPr>
          <w:p w:rsidR="0057214C" w:rsidRDefault="0057214C" w:rsidP="0057214C">
            <w:pPr>
              <w:spacing w:after="0" w:line="240" w:lineRule="auto"/>
              <w:rPr>
                <w:rFonts w:ascii="Calibri" w:eastAsia="Times New Roman" w:hAnsi="Calibri" w:cs="Calibri"/>
                <w:color w:val="000000"/>
                <w:lang w:eastAsia="en-GB"/>
              </w:rPr>
            </w:pPr>
            <w:r w:rsidRPr="0057214C">
              <w:rPr>
                <w:rFonts w:ascii="Calibri" w:eastAsia="Times New Roman" w:hAnsi="Calibri" w:cs="Calibri"/>
                <w:color w:val="000000"/>
                <w:lang w:eastAsia="en-GB"/>
              </w:rPr>
              <w:t>Arizona GDP FROM 2009 TO 2018: Data extracted from Economic Census Report</w:t>
            </w:r>
          </w:p>
          <w:p w:rsidR="00FA65D3" w:rsidRDefault="00FA65D3" w:rsidP="0057214C">
            <w:pPr>
              <w:spacing w:after="0" w:line="240" w:lineRule="auto"/>
              <w:rPr>
                <w:rFonts w:ascii="Calibri" w:eastAsia="Times New Roman" w:hAnsi="Calibri" w:cs="Calibri"/>
                <w:color w:val="000000"/>
                <w:lang w:eastAsia="en-GB"/>
              </w:rPr>
            </w:pPr>
          </w:p>
          <w:p w:rsidR="00FA65D3" w:rsidRDefault="00FA65D3" w:rsidP="0057214C">
            <w:pPr>
              <w:spacing w:after="0" w:line="240" w:lineRule="auto"/>
              <w:rPr>
                <w:rFonts w:ascii="Calibri" w:eastAsia="Times New Roman" w:hAnsi="Calibri" w:cs="Calibri"/>
                <w:color w:val="000000"/>
                <w:lang w:eastAsia="en-GB"/>
              </w:rPr>
            </w:pPr>
          </w:p>
          <w:p w:rsidR="00FA65D3" w:rsidRDefault="00FA65D3" w:rsidP="0057214C">
            <w:pPr>
              <w:spacing w:after="0" w:line="240" w:lineRule="auto"/>
              <w:rPr>
                <w:rFonts w:ascii="Calibri" w:eastAsia="Times New Roman" w:hAnsi="Calibri" w:cs="Calibri"/>
                <w:color w:val="000000"/>
                <w:lang w:eastAsia="en-GB"/>
              </w:rPr>
            </w:pPr>
          </w:p>
          <w:p w:rsidR="00FA65D3" w:rsidRDefault="00FA65D3" w:rsidP="0057214C">
            <w:pPr>
              <w:spacing w:after="0" w:line="240" w:lineRule="auto"/>
              <w:rPr>
                <w:rFonts w:ascii="Calibri" w:eastAsia="Times New Roman" w:hAnsi="Calibri" w:cs="Calibri"/>
                <w:color w:val="000000"/>
                <w:lang w:eastAsia="en-GB"/>
              </w:rPr>
            </w:pPr>
            <w:r>
              <w:rPr>
                <w:noProof/>
                <w:lang w:eastAsia="en-GB"/>
              </w:rPr>
              <w:lastRenderedPageBreak/>
              <w:drawing>
                <wp:inline distT="0" distB="0" distL="0" distR="0" wp14:anchorId="7992519C" wp14:editId="42EFC32E">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A65D3" w:rsidRDefault="00FA65D3" w:rsidP="0057214C">
            <w:pPr>
              <w:spacing w:after="0" w:line="240" w:lineRule="auto"/>
              <w:rPr>
                <w:rFonts w:ascii="Calibri" w:eastAsia="Times New Roman" w:hAnsi="Calibri" w:cs="Calibri"/>
                <w:color w:val="000000"/>
                <w:lang w:eastAsia="en-GB"/>
              </w:rPr>
            </w:pPr>
          </w:p>
          <w:p w:rsidR="00FA65D3" w:rsidRDefault="00FA65D3" w:rsidP="0057214C">
            <w:pPr>
              <w:spacing w:after="0" w:line="240" w:lineRule="auto"/>
              <w:rPr>
                <w:rFonts w:ascii="Calibri" w:eastAsia="Times New Roman" w:hAnsi="Calibri" w:cs="Calibri"/>
                <w:color w:val="000000"/>
                <w:lang w:eastAsia="en-GB"/>
              </w:rPr>
            </w:pPr>
          </w:p>
          <w:p w:rsidR="00FA65D3" w:rsidRDefault="00FA65D3" w:rsidP="0057214C">
            <w:pPr>
              <w:spacing w:after="0" w:line="240" w:lineRule="auto"/>
              <w:rPr>
                <w:rFonts w:ascii="Calibri" w:eastAsia="Times New Roman" w:hAnsi="Calibri" w:cs="Calibri"/>
                <w:color w:val="000000"/>
                <w:lang w:eastAsia="en-GB"/>
              </w:rPr>
            </w:pPr>
          </w:p>
          <w:p w:rsidR="00FA65D3" w:rsidRPr="0057214C" w:rsidRDefault="00FA65D3" w:rsidP="0057214C">
            <w:pPr>
              <w:spacing w:after="0" w:line="240" w:lineRule="auto"/>
              <w:rPr>
                <w:rFonts w:ascii="Calibri" w:eastAsia="Times New Roman" w:hAnsi="Calibri" w:cs="Calibri"/>
                <w:color w:val="000000"/>
                <w:lang w:eastAsia="en-GB"/>
              </w:rPr>
            </w:pPr>
          </w:p>
        </w:tc>
        <w:tc>
          <w:tcPr>
            <w:tcW w:w="830" w:type="dxa"/>
            <w:tcBorders>
              <w:top w:val="nil"/>
              <w:left w:val="nil"/>
              <w:bottom w:val="nil"/>
              <w:right w:val="nil"/>
            </w:tcBorders>
            <w:shd w:val="clear" w:color="auto" w:fill="auto"/>
            <w:noWrap/>
            <w:vAlign w:val="bottom"/>
            <w:hideMark/>
          </w:tcPr>
          <w:p w:rsidR="0057214C" w:rsidRPr="0057214C" w:rsidRDefault="0057214C" w:rsidP="0057214C">
            <w:pPr>
              <w:spacing w:after="0" w:line="240" w:lineRule="auto"/>
              <w:rPr>
                <w:rFonts w:ascii="Calibri" w:eastAsia="Times New Roman" w:hAnsi="Calibri" w:cs="Calibri"/>
                <w:color w:val="000000"/>
                <w:lang w:eastAsia="en-GB"/>
              </w:rPr>
            </w:pPr>
          </w:p>
        </w:tc>
        <w:tc>
          <w:tcPr>
            <w:tcW w:w="941" w:type="dxa"/>
            <w:tcBorders>
              <w:top w:val="nil"/>
              <w:left w:val="nil"/>
              <w:bottom w:val="nil"/>
              <w:right w:val="nil"/>
            </w:tcBorders>
            <w:shd w:val="clear" w:color="auto" w:fill="auto"/>
            <w:noWrap/>
            <w:vAlign w:val="bottom"/>
            <w:hideMark/>
          </w:tcPr>
          <w:p w:rsidR="0057214C" w:rsidRPr="0057214C" w:rsidRDefault="0057214C" w:rsidP="0057214C">
            <w:pPr>
              <w:spacing w:after="0" w:line="240" w:lineRule="auto"/>
              <w:rPr>
                <w:rFonts w:ascii="Times New Roman" w:eastAsia="Times New Roman" w:hAnsi="Times New Roman" w:cs="Times New Roman"/>
                <w:sz w:val="20"/>
                <w:szCs w:val="20"/>
                <w:lang w:eastAsia="en-GB"/>
              </w:rPr>
            </w:pPr>
          </w:p>
        </w:tc>
      </w:tr>
    </w:tbl>
    <w:p w:rsidR="0057214C" w:rsidRDefault="0057214C" w:rsidP="00FA65D3">
      <w:pPr>
        <w:pStyle w:val="NormalWeb"/>
        <w:spacing w:before="0" w:beforeAutospacing="0" w:after="0" w:afterAutospacing="0" w:line="480" w:lineRule="auto"/>
      </w:pPr>
    </w:p>
    <w:p w:rsidR="0057214C" w:rsidRDefault="0057214C" w:rsidP="007121E1">
      <w:pPr>
        <w:pStyle w:val="NormalWeb"/>
        <w:spacing w:before="0" w:beforeAutospacing="0" w:after="0" w:afterAutospacing="0" w:line="480" w:lineRule="auto"/>
        <w:ind w:firstLine="720"/>
      </w:pPr>
    </w:p>
    <w:p w:rsidR="00E04C6C" w:rsidRPr="00E04C6C" w:rsidRDefault="0057214C" w:rsidP="00FA65D3">
      <w:pPr>
        <w:pStyle w:val="NormalWeb"/>
        <w:spacing w:before="0" w:beforeAutospacing="0" w:after="0" w:afterAutospacing="0" w:line="480" w:lineRule="auto"/>
        <w:ind w:firstLine="720"/>
      </w:pPr>
      <w:r>
        <w:t>A graphical representation of the GDP in Millions of Dollars against time in years.</w:t>
      </w:r>
    </w:p>
    <w:p w:rsidR="00E04C6C" w:rsidRDefault="0057214C" w:rsidP="00E04C6C">
      <w:pPr>
        <w:pStyle w:val="NormalWeb"/>
        <w:shd w:val="clear" w:color="auto" w:fill="FFFFFF"/>
        <w:spacing w:before="0" w:beforeAutospacing="0" w:after="390" w:afterAutospacing="0" w:line="480" w:lineRule="auto"/>
        <w:ind w:firstLine="720"/>
        <w:rPr>
          <w:shd w:val="clear" w:color="auto" w:fill="F2F2F2"/>
        </w:rPr>
      </w:pPr>
      <w:r>
        <w:rPr>
          <w:shd w:val="clear" w:color="auto" w:fill="F2F2F2"/>
        </w:rPr>
        <w:t>From the above graph, it is clear that the Arizona’s state GDP has been on an increasing trend since 2009. From the collapse of the US economy in 2008, the state has then recovered.</w:t>
      </w:r>
    </w:p>
    <w:tbl>
      <w:tblPr>
        <w:tblW w:w="9620" w:type="dxa"/>
        <w:tblInd w:w="-5" w:type="dxa"/>
        <w:tblLook w:val="04A0" w:firstRow="1" w:lastRow="0" w:firstColumn="1" w:lastColumn="0" w:noHBand="0" w:noVBand="1"/>
      </w:tblPr>
      <w:tblGrid>
        <w:gridCol w:w="1187"/>
        <w:gridCol w:w="840"/>
        <w:gridCol w:w="860"/>
        <w:gridCol w:w="920"/>
        <w:gridCol w:w="880"/>
        <w:gridCol w:w="860"/>
        <w:gridCol w:w="860"/>
        <w:gridCol w:w="820"/>
        <w:gridCol w:w="840"/>
        <w:gridCol w:w="820"/>
        <w:gridCol w:w="820"/>
      </w:tblGrid>
      <w:tr w:rsidR="00B315E6" w:rsidRPr="00B315E6" w:rsidTr="00B315E6">
        <w:trPr>
          <w:trHeight w:val="300"/>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rPr>
                <w:rFonts w:ascii="Calibri" w:eastAsia="Times New Roman" w:hAnsi="Calibri" w:cs="Calibri"/>
                <w:color w:val="000000"/>
                <w:lang w:eastAsia="en-GB"/>
              </w:rPr>
            </w:pPr>
            <w:r w:rsidRPr="00B315E6">
              <w:rPr>
                <w:rFonts w:ascii="Calibri" w:eastAsia="Times New Roman" w:hAnsi="Calibri" w:cs="Calibri"/>
                <w:color w:val="000000"/>
                <w:lang w:eastAsia="en-GB"/>
              </w:rPr>
              <w:t>Year</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2009</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2010</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2011</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2012</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2013</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2014</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2015</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2016</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2017</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2018</w:t>
            </w:r>
          </w:p>
        </w:tc>
      </w:tr>
      <w:tr w:rsidR="00B315E6" w:rsidRPr="00B315E6" w:rsidTr="00B315E6">
        <w:trPr>
          <w:trHeight w:val="1215"/>
        </w:trPr>
        <w:tc>
          <w:tcPr>
            <w:tcW w:w="1100" w:type="dxa"/>
            <w:tcBorders>
              <w:top w:val="nil"/>
              <w:left w:val="single" w:sz="4" w:space="0" w:color="auto"/>
              <w:bottom w:val="single" w:sz="4" w:space="0" w:color="auto"/>
              <w:right w:val="single" w:sz="4" w:space="0" w:color="auto"/>
            </w:tcBorders>
            <w:shd w:val="clear" w:color="auto" w:fill="auto"/>
            <w:vAlign w:val="bottom"/>
            <w:hideMark/>
          </w:tcPr>
          <w:p w:rsidR="00B315E6" w:rsidRPr="00B315E6" w:rsidRDefault="00B315E6" w:rsidP="00B315E6">
            <w:pPr>
              <w:spacing w:after="0" w:line="240" w:lineRule="auto"/>
              <w:rPr>
                <w:rFonts w:ascii="Calibri" w:eastAsia="Times New Roman" w:hAnsi="Calibri" w:cs="Calibri"/>
                <w:color w:val="000000"/>
                <w:lang w:eastAsia="en-GB"/>
              </w:rPr>
            </w:pPr>
            <w:r w:rsidRPr="00B315E6">
              <w:rPr>
                <w:rFonts w:ascii="Calibri" w:eastAsia="Times New Roman" w:hAnsi="Calibri" w:cs="Calibri"/>
                <w:color w:val="000000"/>
                <w:lang w:eastAsia="en-GB"/>
              </w:rPr>
              <w:t>Disposable Income (In millions of dollars)</w:t>
            </w:r>
          </w:p>
        </w:tc>
        <w:tc>
          <w:tcPr>
            <w:tcW w:w="840" w:type="dxa"/>
            <w:tcBorders>
              <w:top w:val="nil"/>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31000</w:t>
            </w:r>
          </w:p>
        </w:tc>
        <w:tc>
          <w:tcPr>
            <w:tcW w:w="860" w:type="dxa"/>
            <w:tcBorders>
              <w:top w:val="nil"/>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32000</w:t>
            </w:r>
          </w:p>
        </w:tc>
        <w:tc>
          <w:tcPr>
            <w:tcW w:w="920" w:type="dxa"/>
            <w:tcBorders>
              <w:top w:val="nil"/>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33000</w:t>
            </w:r>
          </w:p>
        </w:tc>
        <w:tc>
          <w:tcPr>
            <w:tcW w:w="880" w:type="dxa"/>
            <w:tcBorders>
              <w:top w:val="nil"/>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34000</w:t>
            </w:r>
          </w:p>
        </w:tc>
        <w:tc>
          <w:tcPr>
            <w:tcW w:w="860" w:type="dxa"/>
            <w:tcBorders>
              <w:top w:val="nil"/>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35000</w:t>
            </w:r>
          </w:p>
        </w:tc>
        <w:tc>
          <w:tcPr>
            <w:tcW w:w="860" w:type="dxa"/>
            <w:tcBorders>
              <w:top w:val="nil"/>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36000</w:t>
            </w:r>
          </w:p>
        </w:tc>
        <w:tc>
          <w:tcPr>
            <w:tcW w:w="820" w:type="dxa"/>
            <w:tcBorders>
              <w:top w:val="nil"/>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37000</w:t>
            </w:r>
          </w:p>
        </w:tc>
        <w:tc>
          <w:tcPr>
            <w:tcW w:w="840" w:type="dxa"/>
            <w:tcBorders>
              <w:top w:val="nil"/>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38000</w:t>
            </w:r>
          </w:p>
        </w:tc>
        <w:tc>
          <w:tcPr>
            <w:tcW w:w="820" w:type="dxa"/>
            <w:tcBorders>
              <w:top w:val="nil"/>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39000</w:t>
            </w:r>
          </w:p>
        </w:tc>
        <w:tc>
          <w:tcPr>
            <w:tcW w:w="820" w:type="dxa"/>
            <w:tcBorders>
              <w:top w:val="nil"/>
              <w:left w:val="nil"/>
              <w:bottom w:val="single" w:sz="4" w:space="0" w:color="auto"/>
              <w:right w:val="single" w:sz="4" w:space="0" w:color="auto"/>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r w:rsidRPr="00B315E6">
              <w:rPr>
                <w:rFonts w:ascii="Calibri" w:eastAsia="Times New Roman" w:hAnsi="Calibri" w:cs="Calibri"/>
                <w:color w:val="000000"/>
                <w:lang w:eastAsia="en-GB"/>
              </w:rPr>
              <w:t>40000</w:t>
            </w:r>
          </w:p>
        </w:tc>
      </w:tr>
      <w:tr w:rsidR="00B315E6" w:rsidRPr="00B315E6" w:rsidTr="00B315E6">
        <w:trPr>
          <w:trHeight w:val="300"/>
        </w:trPr>
        <w:tc>
          <w:tcPr>
            <w:tcW w:w="1100" w:type="dxa"/>
            <w:tcBorders>
              <w:top w:val="nil"/>
              <w:left w:val="nil"/>
              <w:bottom w:val="nil"/>
              <w:right w:val="nil"/>
            </w:tcBorders>
            <w:shd w:val="clear" w:color="auto" w:fill="auto"/>
            <w:noWrap/>
            <w:vAlign w:val="bottom"/>
            <w:hideMark/>
          </w:tcPr>
          <w:p w:rsidR="00B315E6" w:rsidRPr="00B315E6" w:rsidRDefault="00B315E6" w:rsidP="00B315E6">
            <w:pPr>
              <w:spacing w:after="0" w:line="240" w:lineRule="auto"/>
              <w:jc w:val="right"/>
              <w:rPr>
                <w:rFonts w:ascii="Calibri" w:eastAsia="Times New Roman" w:hAnsi="Calibri" w:cs="Calibri"/>
                <w:color w:val="000000"/>
                <w:lang w:eastAsia="en-GB"/>
              </w:rPr>
            </w:pPr>
          </w:p>
        </w:tc>
        <w:tc>
          <w:tcPr>
            <w:tcW w:w="840" w:type="dxa"/>
            <w:tcBorders>
              <w:top w:val="nil"/>
              <w:left w:val="nil"/>
              <w:bottom w:val="nil"/>
              <w:right w:val="nil"/>
            </w:tcBorders>
            <w:shd w:val="clear" w:color="auto" w:fill="auto"/>
            <w:noWrap/>
            <w:vAlign w:val="bottom"/>
            <w:hideMark/>
          </w:tcPr>
          <w:p w:rsidR="00B315E6" w:rsidRPr="00B315E6" w:rsidRDefault="00B315E6" w:rsidP="00B315E6">
            <w:pPr>
              <w:spacing w:after="0" w:line="240" w:lineRule="auto"/>
              <w:rPr>
                <w:rFonts w:ascii="Times New Roman" w:eastAsia="Times New Roman" w:hAnsi="Times New Roman" w:cs="Times New Roman"/>
                <w:sz w:val="20"/>
                <w:szCs w:val="20"/>
                <w:lang w:eastAsia="en-GB"/>
              </w:rPr>
            </w:pPr>
          </w:p>
        </w:tc>
        <w:tc>
          <w:tcPr>
            <w:tcW w:w="860" w:type="dxa"/>
            <w:tcBorders>
              <w:top w:val="nil"/>
              <w:left w:val="nil"/>
              <w:bottom w:val="nil"/>
              <w:right w:val="nil"/>
            </w:tcBorders>
            <w:shd w:val="clear" w:color="auto" w:fill="auto"/>
            <w:noWrap/>
            <w:vAlign w:val="bottom"/>
            <w:hideMark/>
          </w:tcPr>
          <w:p w:rsidR="00B315E6" w:rsidRPr="00B315E6" w:rsidRDefault="00B315E6" w:rsidP="00B315E6">
            <w:pPr>
              <w:spacing w:after="0" w:line="240" w:lineRule="auto"/>
              <w:rPr>
                <w:rFonts w:ascii="Times New Roman" w:eastAsia="Times New Roman" w:hAnsi="Times New Roman" w:cs="Times New Roman"/>
                <w:sz w:val="20"/>
                <w:szCs w:val="20"/>
                <w:lang w:eastAsia="en-GB"/>
              </w:rPr>
            </w:pPr>
          </w:p>
        </w:tc>
        <w:tc>
          <w:tcPr>
            <w:tcW w:w="920" w:type="dxa"/>
            <w:tcBorders>
              <w:top w:val="nil"/>
              <w:left w:val="nil"/>
              <w:bottom w:val="nil"/>
              <w:right w:val="nil"/>
            </w:tcBorders>
            <w:shd w:val="clear" w:color="auto" w:fill="auto"/>
            <w:noWrap/>
            <w:vAlign w:val="bottom"/>
            <w:hideMark/>
          </w:tcPr>
          <w:p w:rsidR="00B315E6" w:rsidRPr="00B315E6" w:rsidRDefault="00B315E6" w:rsidP="00B315E6">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shd w:val="clear" w:color="auto" w:fill="auto"/>
            <w:noWrap/>
            <w:vAlign w:val="bottom"/>
            <w:hideMark/>
          </w:tcPr>
          <w:p w:rsidR="00B315E6" w:rsidRPr="00B315E6" w:rsidRDefault="00B315E6" w:rsidP="00B315E6">
            <w:pPr>
              <w:spacing w:after="0" w:line="240" w:lineRule="auto"/>
              <w:rPr>
                <w:rFonts w:ascii="Times New Roman" w:eastAsia="Times New Roman" w:hAnsi="Times New Roman" w:cs="Times New Roman"/>
                <w:sz w:val="20"/>
                <w:szCs w:val="20"/>
                <w:lang w:eastAsia="en-GB"/>
              </w:rPr>
            </w:pPr>
          </w:p>
        </w:tc>
        <w:tc>
          <w:tcPr>
            <w:tcW w:w="860" w:type="dxa"/>
            <w:tcBorders>
              <w:top w:val="nil"/>
              <w:left w:val="nil"/>
              <w:bottom w:val="nil"/>
              <w:right w:val="nil"/>
            </w:tcBorders>
            <w:shd w:val="clear" w:color="auto" w:fill="auto"/>
            <w:noWrap/>
            <w:vAlign w:val="bottom"/>
            <w:hideMark/>
          </w:tcPr>
          <w:p w:rsidR="00B315E6" w:rsidRPr="00B315E6" w:rsidRDefault="00B315E6" w:rsidP="00B315E6">
            <w:pPr>
              <w:spacing w:after="0" w:line="240" w:lineRule="auto"/>
              <w:rPr>
                <w:rFonts w:ascii="Times New Roman" w:eastAsia="Times New Roman" w:hAnsi="Times New Roman" w:cs="Times New Roman"/>
                <w:sz w:val="20"/>
                <w:szCs w:val="20"/>
                <w:lang w:eastAsia="en-GB"/>
              </w:rPr>
            </w:pPr>
          </w:p>
        </w:tc>
        <w:tc>
          <w:tcPr>
            <w:tcW w:w="860" w:type="dxa"/>
            <w:tcBorders>
              <w:top w:val="nil"/>
              <w:left w:val="nil"/>
              <w:bottom w:val="nil"/>
              <w:right w:val="nil"/>
            </w:tcBorders>
            <w:shd w:val="clear" w:color="auto" w:fill="auto"/>
            <w:noWrap/>
            <w:vAlign w:val="bottom"/>
            <w:hideMark/>
          </w:tcPr>
          <w:p w:rsidR="00B315E6" w:rsidRPr="00B315E6" w:rsidRDefault="00B315E6" w:rsidP="00B315E6">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rsidR="00B315E6" w:rsidRPr="00B315E6" w:rsidRDefault="00B315E6" w:rsidP="00B315E6">
            <w:pPr>
              <w:spacing w:after="0" w:line="240" w:lineRule="auto"/>
              <w:rPr>
                <w:rFonts w:ascii="Times New Roman" w:eastAsia="Times New Roman" w:hAnsi="Times New Roman" w:cs="Times New Roman"/>
                <w:sz w:val="20"/>
                <w:szCs w:val="20"/>
                <w:lang w:eastAsia="en-GB"/>
              </w:rPr>
            </w:pPr>
          </w:p>
        </w:tc>
        <w:tc>
          <w:tcPr>
            <w:tcW w:w="840" w:type="dxa"/>
            <w:tcBorders>
              <w:top w:val="nil"/>
              <w:left w:val="nil"/>
              <w:bottom w:val="nil"/>
              <w:right w:val="nil"/>
            </w:tcBorders>
            <w:shd w:val="clear" w:color="auto" w:fill="auto"/>
            <w:noWrap/>
            <w:vAlign w:val="bottom"/>
            <w:hideMark/>
          </w:tcPr>
          <w:p w:rsidR="00B315E6" w:rsidRPr="00B315E6" w:rsidRDefault="00B315E6" w:rsidP="00B315E6">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rsidR="00B315E6" w:rsidRPr="00B315E6" w:rsidRDefault="00B315E6" w:rsidP="00B315E6">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rsidR="00B315E6" w:rsidRPr="00B315E6" w:rsidRDefault="00B315E6" w:rsidP="00B315E6">
            <w:pPr>
              <w:spacing w:after="0" w:line="240" w:lineRule="auto"/>
              <w:rPr>
                <w:rFonts w:ascii="Times New Roman" w:eastAsia="Times New Roman" w:hAnsi="Times New Roman" w:cs="Times New Roman"/>
                <w:sz w:val="20"/>
                <w:szCs w:val="20"/>
                <w:lang w:eastAsia="en-GB"/>
              </w:rPr>
            </w:pPr>
          </w:p>
        </w:tc>
      </w:tr>
      <w:tr w:rsidR="00B315E6" w:rsidRPr="00B315E6" w:rsidTr="00B315E6">
        <w:trPr>
          <w:trHeight w:val="300"/>
        </w:trPr>
        <w:tc>
          <w:tcPr>
            <w:tcW w:w="9620" w:type="dxa"/>
            <w:gridSpan w:val="11"/>
            <w:tcBorders>
              <w:top w:val="nil"/>
              <w:left w:val="nil"/>
              <w:bottom w:val="nil"/>
              <w:right w:val="nil"/>
            </w:tcBorders>
            <w:shd w:val="clear" w:color="auto" w:fill="auto"/>
            <w:noWrap/>
            <w:vAlign w:val="bottom"/>
            <w:hideMark/>
          </w:tcPr>
          <w:p w:rsidR="00B315E6" w:rsidRPr="00B315E6" w:rsidRDefault="00B315E6" w:rsidP="00B315E6">
            <w:pPr>
              <w:spacing w:after="0" w:line="240" w:lineRule="auto"/>
              <w:rPr>
                <w:rFonts w:ascii="Calibri" w:eastAsia="Times New Roman" w:hAnsi="Calibri" w:cs="Calibri"/>
                <w:color w:val="000000"/>
                <w:lang w:eastAsia="en-GB"/>
              </w:rPr>
            </w:pPr>
            <w:r w:rsidRPr="00B315E6">
              <w:rPr>
                <w:rFonts w:ascii="Calibri" w:eastAsia="Times New Roman" w:hAnsi="Calibri" w:cs="Calibri"/>
                <w:color w:val="000000"/>
                <w:lang w:eastAsia="en-GB"/>
              </w:rPr>
              <w:t>Arizona GDP FROM 2009 TO 2018: Data extracted from Arizona Economic and Business Research Centre</w:t>
            </w:r>
          </w:p>
        </w:tc>
      </w:tr>
    </w:tbl>
    <w:p w:rsidR="00B315E6" w:rsidRDefault="00B315E6" w:rsidP="00E04C6C">
      <w:pPr>
        <w:pStyle w:val="NormalWeb"/>
        <w:shd w:val="clear" w:color="auto" w:fill="FFFFFF"/>
        <w:spacing w:before="0" w:beforeAutospacing="0" w:after="390" w:afterAutospacing="0" w:line="480" w:lineRule="auto"/>
        <w:ind w:firstLine="720"/>
        <w:rPr>
          <w:shd w:val="clear" w:color="auto" w:fill="F2F2F2"/>
        </w:rPr>
      </w:pPr>
    </w:p>
    <w:p w:rsidR="00B315E6" w:rsidRDefault="00B315E6" w:rsidP="00B315E6">
      <w:pPr>
        <w:pStyle w:val="NormalWeb"/>
        <w:shd w:val="clear" w:color="auto" w:fill="FFFFFF"/>
        <w:spacing w:before="0" w:beforeAutospacing="0" w:after="390" w:afterAutospacing="0" w:line="480" w:lineRule="auto"/>
        <w:ind w:firstLine="720"/>
        <w:rPr>
          <w:noProof/>
        </w:rPr>
      </w:pPr>
      <w:r>
        <w:rPr>
          <w:noProof/>
        </w:rPr>
        <w:drawing>
          <wp:inline distT="0" distB="0" distL="0" distR="0" wp14:anchorId="42C16F7F" wp14:editId="3AF1CD24">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315E6" w:rsidRDefault="00B315E6" w:rsidP="00B315E6">
      <w:pPr>
        <w:pStyle w:val="NormalWeb"/>
        <w:shd w:val="clear" w:color="auto" w:fill="FFFFFF"/>
        <w:spacing w:before="0" w:beforeAutospacing="0" w:after="390" w:afterAutospacing="0" w:line="480" w:lineRule="auto"/>
        <w:ind w:firstLine="720"/>
      </w:pPr>
    </w:p>
    <w:p w:rsidR="00B315E6" w:rsidRDefault="00B315E6" w:rsidP="00B315E6">
      <w:pPr>
        <w:pStyle w:val="NormalWeb"/>
        <w:shd w:val="clear" w:color="auto" w:fill="FFFFFF"/>
        <w:spacing w:before="0" w:beforeAutospacing="0" w:after="390" w:afterAutospacing="0" w:line="480" w:lineRule="auto"/>
        <w:ind w:firstLine="720"/>
      </w:pPr>
      <w:r>
        <w:t>A graphical representation of the Arizona state Disposable income</w:t>
      </w:r>
    </w:p>
    <w:p w:rsidR="00B315E6" w:rsidRDefault="00B315E6" w:rsidP="00B315E6">
      <w:pPr>
        <w:pStyle w:val="NormalWeb"/>
        <w:shd w:val="clear" w:color="auto" w:fill="FFFFFF"/>
        <w:spacing w:before="0" w:beforeAutospacing="0" w:after="390" w:afterAutospacing="0" w:line="480" w:lineRule="auto"/>
        <w:ind w:firstLine="720"/>
      </w:pPr>
      <w:r>
        <w:t>Disposable income is the income remaining after tax and social security deductions.</w:t>
      </w:r>
    </w:p>
    <w:p w:rsidR="00B315E6" w:rsidRDefault="00B315E6" w:rsidP="00B315E6">
      <w:pPr>
        <w:pStyle w:val="NormalWeb"/>
        <w:shd w:val="clear" w:color="auto" w:fill="FFFFFF"/>
        <w:spacing w:before="0" w:beforeAutospacing="0" w:after="390" w:afterAutospacing="0" w:line="480" w:lineRule="auto"/>
        <w:ind w:firstLine="720"/>
      </w:pPr>
      <w:r>
        <w:t xml:space="preserve">In Arizona State, the disposable income has been on the rise since the great </w:t>
      </w:r>
      <w:r w:rsidR="00FA65D3">
        <w:t>recession, which</w:t>
      </w:r>
      <w:r>
        <w:t xml:space="preserve"> occurred in 2008. This means that the economy was healed from the recession’s wounds.</w:t>
      </w:r>
    </w:p>
    <w:p w:rsidR="00FA65D3" w:rsidRDefault="00FA65D3" w:rsidP="00B315E6">
      <w:pPr>
        <w:pStyle w:val="NormalWeb"/>
        <w:shd w:val="clear" w:color="auto" w:fill="FFFFFF"/>
        <w:spacing w:before="0" w:beforeAutospacing="0" w:after="390" w:afterAutospacing="0" w:line="480" w:lineRule="auto"/>
        <w:ind w:firstLine="720"/>
      </w:pPr>
    </w:p>
    <w:tbl>
      <w:tblPr>
        <w:tblW w:w="9749" w:type="dxa"/>
        <w:tblInd w:w="-10" w:type="dxa"/>
        <w:tblLook w:val="04A0" w:firstRow="1" w:lastRow="0" w:firstColumn="1" w:lastColumn="0" w:noHBand="0" w:noVBand="1"/>
      </w:tblPr>
      <w:tblGrid>
        <w:gridCol w:w="1229"/>
        <w:gridCol w:w="840"/>
        <w:gridCol w:w="860"/>
        <w:gridCol w:w="920"/>
        <w:gridCol w:w="880"/>
        <w:gridCol w:w="860"/>
        <w:gridCol w:w="860"/>
        <w:gridCol w:w="820"/>
        <w:gridCol w:w="840"/>
        <w:gridCol w:w="820"/>
        <w:gridCol w:w="820"/>
      </w:tblGrid>
      <w:tr w:rsidR="00FA65D3" w:rsidRPr="00FA65D3" w:rsidTr="00FA65D3">
        <w:trPr>
          <w:trHeight w:val="300"/>
        </w:trPr>
        <w:tc>
          <w:tcPr>
            <w:tcW w:w="12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rPr>
                <w:rFonts w:ascii="Calibri" w:eastAsia="Times New Roman" w:hAnsi="Calibri" w:cs="Calibri"/>
                <w:color w:val="000000"/>
                <w:lang w:eastAsia="en-GB"/>
              </w:rPr>
            </w:pPr>
            <w:r w:rsidRPr="00FA65D3">
              <w:rPr>
                <w:rFonts w:ascii="Calibri" w:eastAsia="Times New Roman" w:hAnsi="Calibri" w:cs="Calibri"/>
                <w:color w:val="000000"/>
                <w:lang w:eastAsia="en-GB"/>
              </w:rPr>
              <w:t>Year</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2009</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2010</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2011</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2012</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2013</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2014</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2015</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2016</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2017</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2018</w:t>
            </w:r>
          </w:p>
        </w:tc>
      </w:tr>
      <w:tr w:rsidR="00FA65D3" w:rsidRPr="00FA65D3" w:rsidTr="00FA65D3">
        <w:trPr>
          <w:trHeight w:val="1215"/>
        </w:trPr>
        <w:tc>
          <w:tcPr>
            <w:tcW w:w="1229" w:type="dxa"/>
            <w:tcBorders>
              <w:top w:val="nil"/>
              <w:left w:val="single" w:sz="4" w:space="0" w:color="auto"/>
              <w:bottom w:val="single" w:sz="4" w:space="0" w:color="auto"/>
              <w:right w:val="single" w:sz="4" w:space="0" w:color="auto"/>
            </w:tcBorders>
            <w:shd w:val="clear" w:color="auto" w:fill="auto"/>
            <w:vAlign w:val="bottom"/>
            <w:hideMark/>
          </w:tcPr>
          <w:p w:rsidR="00FA65D3" w:rsidRPr="00FA65D3" w:rsidRDefault="00FA65D3" w:rsidP="00FA65D3">
            <w:pPr>
              <w:spacing w:after="0" w:line="240" w:lineRule="auto"/>
              <w:jc w:val="center"/>
              <w:rPr>
                <w:rFonts w:ascii="Calibri" w:eastAsia="Times New Roman" w:hAnsi="Calibri" w:cs="Calibri"/>
                <w:color w:val="000000"/>
                <w:lang w:eastAsia="en-GB"/>
              </w:rPr>
            </w:pPr>
            <w:r w:rsidRPr="00FA65D3">
              <w:rPr>
                <w:rFonts w:ascii="Calibri" w:eastAsia="Times New Roman" w:hAnsi="Calibri" w:cs="Calibri"/>
                <w:color w:val="000000"/>
                <w:lang w:eastAsia="en-GB"/>
              </w:rPr>
              <w:t xml:space="preserve"> Arable land(Acres)</w:t>
            </w:r>
          </w:p>
        </w:tc>
        <w:tc>
          <w:tcPr>
            <w:tcW w:w="840" w:type="dxa"/>
            <w:tcBorders>
              <w:top w:val="nil"/>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10</w:t>
            </w:r>
          </w:p>
        </w:tc>
        <w:tc>
          <w:tcPr>
            <w:tcW w:w="860" w:type="dxa"/>
            <w:tcBorders>
              <w:top w:val="nil"/>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10.5</w:t>
            </w:r>
          </w:p>
        </w:tc>
        <w:tc>
          <w:tcPr>
            <w:tcW w:w="920" w:type="dxa"/>
            <w:tcBorders>
              <w:top w:val="nil"/>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10.5</w:t>
            </w:r>
          </w:p>
        </w:tc>
        <w:tc>
          <w:tcPr>
            <w:tcW w:w="880" w:type="dxa"/>
            <w:tcBorders>
              <w:top w:val="nil"/>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10.6</w:t>
            </w:r>
          </w:p>
        </w:tc>
        <w:tc>
          <w:tcPr>
            <w:tcW w:w="860" w:type="dxa"/>
            <w:tcBorders>
              <w:top w:val="nil"/>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10.8</w:t>
            </w:r>
          </w:p>
        </w:tc>
        <w:tc>
          <w:tcPr>
            <w:tcW w:w="860" w:type="dxa"/>
            <w:tcBorders>
              <w:top w:val="nil"/>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10.7</w:t>
            </w:r>
          </w:p>
        </w:tc>
        <w:tc>
          <w:tcPr>
            <w:tcW w:w="820" w:type="dxa"/>
            <w:tcBorders>
              <w:top w:val="nil"/>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10.9</w:t>
            </w:r>
          </w:p>
        </w:tc>
        <w:tc>
          <w:tcPr>
            <w:tcW w:w="840" w:type="dxa"/>
            <w:tcBorders>
              <w:top w:val="nil"/>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11</w:t>
            </w:r>
          </w:p>
        </w:tc>
        <w:tc>
          <w:tcPr>
            <w:tcW w:w="820" w:type="dxa"/>
            <w:tcBorders>
              <w:top w:val="nil"/>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11.2</w:t>
            </w:r>
          </w:p>
        </w:tc>
        <w:tc>
          <w:tcPr>
            <w:tcW w:w="820" w:type="dxa"/>
            <w:tcBorders>
              <w:top w:val="nil"/>
              <w:left w:val="nil"/>
              <w:bottom w:val="single" w:sz="4" w:space="0" w:color="auto"/>
              <w:right w:val="single" w:sz="4" w:space="0" w:color="auto"/>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r w:rsidRPr="00FA65D3">
              <w:rPr>
                <w:rFonts w:ascii="Calibri" w:eastAsia="Times New Roman" w:hAnsi="Calibri" w:cs="Calibri"/>
                <w:color w:val="000000"/>
                <w:lang w:eastAsia="en-GB"/>
              </w:rPr>
              <w:t>11.4</w:t>
            </w:r>
          </w:p>
        </w:tc>
      </w:tr>
      <w:tr w:rsidR="00FA65D3" w:rsidRPr="00FA65D3" w:rsidTr="00FA65D3">
        <w:trPr>
          <w:trHeight w:val="300"/>
        </w:trPr>
        <w:tc>
          <w:tcPr>
            <w:tcW w:w="1229" w:type="dxa"/>
            <w:tcBorders>
              <w:top w:val="nil"/>
              <w:left w:val="nil"/>
              <w:bottom w:val="nil"/>
              <w:right w:val="nil"/>
            </w:tcBorders>
            <w:shd w:val="clear" w:color="auto" w:fill="auto"/>
            <w:noWrap/>
            <w:vAlign w:val="bottom"/>
            <w:hideMark/>
          </w:tcPr>
          <w:p w:rsidR="00FA65D3" w:rsidRPr="00FA65D3" w:rsidRDefault="00FA65D3" w:rsidP="00FA65D3">
            <w:pPr>
              <w:spacing w:after="0" w:line="240" w:lineRule="auto"/>
              <w:jc w:val="right"/>
              <w:rPr>
                <w:rFonts w:ascii="Calibri" w:eastAsia="Times New Roman" w:hAnsi="Calibri" w:cs="Calibri"/>
                <w:color w:val="000000"/>
                <w:lang w:eastAsia="en-GB"/>
              </w:rPr>
            </w:pPr>
          </w:p>
        </w:tc>
        <w:tc>
          <w:tcPr>
            <w:tcW w:w="840" w:type="dxa"/>
            <w:tcBorders>
              <w:top w:val="nil"/>
              <w:left w:val="nil"/>
              <w:bottom w:val="nil"/>
              <w:right w:val="nil"/>
            </w:tcBorders>
            <w:shd w:val="clear" w:color="auto" w:fill="auto"/>
            <w:noWrap/>
            <w:vAlign w:val="bottom"/>
            <w:hideMark/>
          </w:tcPr>
          <w:p w:rsidR="00FA65D3" w:rsidRPr="00FA65D3" w:rsidRDefault="00FA65D3" w:rsidP="00FA65D3">
            <w:pPr>
              <w:spacing w:after="0" w:line="240" w:lineRule="auto"/>
              <w:rPr>
                <w:rFonts w:ascii="Times New Roman" w:eastAsia="Times New Roman" w:hAnsi="Times New Roman" w:cs="Times New Roman"/>
                <w:sz w:val="20"/>
                <w:szCs w:val="20"/>
                <w:lang w:eastAsia="en-GB"/>
              </w:rPr>
            </w:pPr>
          </w:p>
        </w:tc>
        <w:tc>
          <w:tcPr>
            <w:tcW w:w="860" w:type="dxa"/>
            <w:tcBorders>
              <w:top w:val="nil"/>
              <w:left w:val="nil"/>
              <w:bottom w:val="nil"/>
              <w:right w:val="nil"/>
            </w:tcBorders>
            <w:shd w:val="clear" w:color="auto" w:fill="auto"/>
            <w:noWrap/>
            <w:vAlign w:val="bottom"/>
            <w:hideMark/>
          </w:tcPr>
          <w:p w:rsidR="00FA65D3" w:rsidRPr="00FA65D3" w:rsidRDefault="00FA65D3" w:rsidP="00FA65D3">
            <w:pPr>
              <w:spacing w:after="0" w:line="240" w:lineRule="auto"/>
              <w:rPr>
                <w:rFonts w:ascii="Times New Roman" w:eastAsia="Times New Roman" w:hAnsi="Times New Roman" w:cs="Times New Roman"/>
                <w:sz w:val="20"/>
                <w:szCs w:val="20"/>
                <w:lang w:eastAsia="en-GB"/>
              </w:rPr>
            </w:pPr>
          </w:p>
        </w:tc>
        <w:tc>
          <w:tcPr>
            <w:tcW w:w="920" w:type="dxa"/>
            <w:tcBorders>
              <w:top w:val="nil"/>
              <w:left w:val="nil"/>
              <w:bottom w:val="nil"/>
              <w:right w:val="nil"/>
            </w:tcBorders>
            <w:shd w:val="clear" w:color="auto" w:fill="auto"/>
            <w:noWrap/>
            <w:vAlign w:val="bottom"/>
            <w:hideMark/>
          </w:tcPr>
          <w:p w:rsidR="00FA65D3" w:rsidRPr="00FA65D3" w:rsidRDefault="00FA65D3" w:rsidP="00FA65D3">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shd w:val="clear" w:color="auto" w:fill="auto"/>
            <w:noWrap/>
            <w:vAlign w:val="bottom"/>
            <w:hideMark/>
          </w:tcPr>
          <w:p w:rsidR="00FA65D3" w:rsidRPr="00FA65D3" w:rsidRDefault="00FA65D3" w:rsidP="00FA65D3">
            <w:pPr>
              <w:spacing w:after="0" w:line="240" w:lineRule="auto"/>
              <w:rPr>
                <w:rFonts w:ascii="Times New Roman" w:eastAsia="Times New Roman" w:hAnsi="Times New Roman" w:cs="Times New Roman"/>
                <w:sz w:val="20"/>
                <w:szCs w:val="20"/>
                <w:lang w:eastAsia="en-GB"/>
              </w:rPr>
            </w:pPr>
          </w:p>
        </w:tc>
        <w:tc>
          <w:tcPr>
            <w:tcW w:w="860" w:type="dxa"/>
            <w:tcBorders>
              <w:top w:val="nil"/>
              <w:left w:val="nil"/>
              <w:bottom w:val="nil"/>
              <w:right w:val="nil"/>
            </w:tcBorders>
            <w:shd w:val="clear" w:color="auto" w:fill="auto"/>
            <w:noWrap/>
            <w:vAlign w:val="bottom"/>
            <w:hideMark/>
          </w:tcPr>
          <w:p w:rsidR="00FA65D3" w:rsidRPr="00FA65D3" w:rsidRDefault="00FA65D3" w:rsidP="00FA65D3">
            <w:pPr>
              <w:spacing w:after="0" w:line="240" w:lineRule="auto"/>
              <w:rPr>
                <w:rFonts w:ascii="Times New Roman" w:eastAsia="Times New Roman" w:hAnsi="Times New Roman" w:cs="Times New Roman"/>
                <w:sz w:val="20"/>
                <w:szCs w:val="20"/>
                <w:lang w:eastAsia="en-GB"/>
              </w:rPr>
            </w:pPr>
          </w:p>
        </w:tc>
        <w:tc>
          <w:tcPr>
            <w:tcW w:w="860" w:type="dxa"/>
            <w:tcBorders>
              <w:top w:val="nil"/>
              <w:left w:val="nil"/>
              <w:bottom w:val="nil"/>
              <w:right w:val="nil"/>
            </w:tcBorders>
            <w:shd w:val="clear" w:color="auto" w:fill="auto"/>
            <w:noWrap/>
            <w:vAlign w:val="bottom"/>
            <w:hideMark/>
          </w:tcPr>
          <w:p w:rsidR="00FA65D3" w:rsidRPr="00FA65D3" w:rsidRDefault="00FA65D3" w:rsidP="00FA65D3">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rsidR="00FA65D3" w:rsidRPr="00FA65D3" w:rsidRDefault="00FA65D3" w:rsidP="00FA65D3">
            <w:pPr>
              <w:spacing w:after="0" w:line="240" w:lineRule="auto"/>
              <w:rPr>
                <w:rFonts w:ascii="Times New Roman" w:eastAsia="Times New Roman" w:hAnsi="Times New Roman" w:cs="Times New Roman"/>
                <w:sz w:val="20"/>
                <w:szCs w:val="20"/>
                <w:lang w:eastAsia="en-GB"/>
              </w:rPr>
            </w:pPr>
          </w:p>
        </w:tc>
        <w:tc>
          <w:tcPr>
            <w:tcW w:w="840" w:type="dxa"/>
            <w:tcBorders>
              <w:top w:val="nil"/>
              <w:left w:val="nil"/>
              <w:bottom w:val="nil"/>
              <w:right w:val="nil"/>
            </w:tcBorders>
            <w:shd w:val="clear" w:color="auto" w:fill="auto"/>
            <w:noWrap/>
            <w:vAlign w:val="bottom"/>
            <w:hideMark/>
          </w:tcPr>
          <w:p w:rsidR="00FA65D3" w:rsidRPr="00FA65D3" w:rsidRDefault="00FA65D3" w:rsidP="00FA65D3">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rsidR="00FA65D3" w:rsidRPr="00FA65D3" w:rsidRDefault="00FA65D3" w:rsidP="00FA65D3">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rsidR="00FA65D3" w:rsidRPr="00FA65D3" w:rsidRDefault="00FA65D3" w:rsidP="00FA65D3">
            <w:pPr>
              <w:spacing w:after="0" w:line="240" w:lineRule="auto"/>
              <w:rPr>
                <w:rFonts w:ascii="Times New Roman" w:eastAsia="Times New Roman" w:hAnsi="Times New Roman" w:cs="Times New Roman"/>
                <w:sz w:val="20"/>
                <w:szCs w:val="20"/>
                <w:lang w:eastAsia="en-GB"/>
              </w:rPr>
            </w:pPr>
          </w:p>
        </w:tc>
      </w:tr>
      <w:tr w:rsidR="00FA65D3" w:rsidRPr="00FA65D3" w:rsidTr="00FA65D3">
        <w:trPr>
          <w:trHeight w:val="300"/>
        </w:trPr>
        <w:tc>
          <w:tcPr>
            <w:tcW w:w="8109" w:type="dxa"/>
            <w:gridSpan w:val="9"/>
            <w:tcBorders>
              <w:top w:val="nil"/>
              <w:left w:val="nil"/>
              <w:bottom w:val="nil"/>
              <w:right w:val="nil"/>
            </w:tcBorders>
            <w:shd w:val="clear" w:color="auto" w:fill="auto"/>
            <w:noWrap/>
            <w:vAlign w:val="bottom"/>
            <w:hideMark/>
          </w:tcPr>
          <w:p w:rsidR="00FA65D3" w:rsidRDefault="00FA65D3" w:rsidP="00FA65D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Arizona Arable lands</w:t>
            </w:r>
            <w:r w:rsidRPr="00FA65D3">
              <w:rPr>
                <w:rFonts w:ascii="Calibri" w:eastAsia="Times New Roman" w:hAnsi="Calibri" w:cs="Calibri"/>
                <w:color w:val="000000"/>
                <w:lang w:eastAsia="en-GB"/>
              </w:rPr>
              <w:t xml:space="preserve"> FROM 2009 TO 2018: Data extracted from American Community Survey</w:t>
            </w:r>
          </w:p>
          <w:p w:rsidR="00FA65D3" w:rsidRDefault="00FA65D3" w:rsidP="00FA65D3">
            <w:pPr>
              <w:spacing w:after="0" w:line="240" w:lineRule="auto"/>
              <w:rPr>
                <w:rFonts w:ascii="Calibri" w:eastAsia="Times New Roman" w:hAnsi="Calibri" w:cs="Calibri"/>
                <w:color w:val="000000"/>
                <w:lang w:eastAsia="en-GB"/>
              </w:rPr>
            </w:pPr>
          </w:p>
          <w:p w:rsidR="00FA65D3" w:rsidRDefault="00FA65D3" w:rsidP="00FA65D3">
            <w:pPr>
              <w:spacing w:after="0" w:line="240" w:lineRule="auto"/>
              <w:rPr>
                <w:rFonts w:ascii="Calibri" w:eastAsia="Times New Roman" w:hAnsi="Calibri" w:cs="Calibri"/>
                <w:color w:val="000000"/>
                <w:lang w:eastAsia="en-GB"/>
              </w:rPr>
            </w:pPr>
          </w:p>
          <w:p w:rsidR="00FA65D3" w:rsidRDefault="00FA65D3" w:rsidP="00FA65D3">
            <w:pPr>
              <w:spacing w:after="0" w:line="240" w:lineRule="auto"/>
              <w:rPr>
                <w:rFonts w:ascii="Calibri" w:eastAsia="Times New Roman" w:hAnsi="Calibri" w:cs="Calibri"/>
                <w:color w:val="000000"/>
                <w:lang w:eastAsia="en-GB"/>
              </w:rPr>
            </w:pPr>
          </w:p>
          <w:p w:rsidR="00FA65D3" w:rsidRPr="00FA65D3" w:rsidRDefault="00FA65D3" w:rsidP="00FA65D3">
            <w:pPr>
              <w:spacing w:after="0" w:line="240" w:lineRule="auto"/>
              <w:rPr>
                <w:rFonts w:ascii="Calibri" w:eastAsia="Times New Roman" w:hAnsi="Calibri" w:cs="Calibri"/>
                <w:color w:val="000000"/>
                <w:lang w:eastAsia="en-GB"/>
              </w:rPr>
            </w:pPr>
            <w:r>
              <w:rPr>
                <w:noProof/>
                <w:lang w:eastAsia="en-GB"/>
              </w:rPr>
              <w:drawing>
                <wp:inline distT="0" distB="0" distL="0" distR="0" wp14:anchorId="5D693404" wp14:editId="41EA31CA">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c>
          <w:tcPr>
            <w:tcW w:w="820" w:type="dxa"/>
            <w:tcBorders>
              <w:top w:val="nil"/>
              <w:left w:val="nil"/>
              <w:bottom w:val="nil"/>
              <w:right w:val="nil"/>
            </w:tcBorders>
            <w:shd w:val="clear" w:color="auto" w:fill="auto"/>
            <w:noWrap/>
            <w:vAlign w:val="bottom"/>
            <w:hideMark/>
          </w:tcPr>
          <w:p w:rsidR="00FA65D3" w:rsidRPr="00FA65D3" w:rsidRDefault="00FA65D3" w:rsidP="00FA65D3">
            <w:pPr>
              <w:spacing w:after="0" w:line="240" w:lineRule="auto"/>
              <w:rPr>
                <w:rFonts w:ascii="Calibri" w:eastAsia="Times New Roman" w:hAnsi="Calibri" w:cs="Calibri"/>
                <w:color w:val="000000"/>
                <w:lang w:eastAsia="en-GB"/>
              </w:rPr>
            </w:pPr>
          </w:p>
        </w:tc>
        <w:tc>
          <w:tcPr>
            <w:tcW w:w="820" w:type="dxa"/>
            <w:tcBorders>
              <w:top w:val="nil"/>
              <w:left w:val="nil"/>
              <w:bottom w:val="nil"/>
              <w:right w:val="nil"/>
            </w:tcBorders>
            <w:shd w:val="clear" w:color="auto" w:fill="auto"/>
            <w:noWrap/>
            <w:vAlign w:val="bottom"/>
            <w:hideMark/>
          </w:tcPr>
          <w:p w:rsidR="00FA65D3" w:rsidRPr="00FA65D3" w:rsidRDefault="00FA65D3" w:rsidP="00FA65D3">
            <w:pPr>
              <w:spacing w:after="0" w:line="240" w:lineRule="auto"/>
              <w:rPr>
                <w:rFonts w:ascii="Times New Roman" w:eastAsia="Times New Roman" w:hAnsi="Times New Roman" w:cs="Times New Roman"/>
                <w:sz w:val="20"/>
                <w:szCs w:val="20"/>
                <w:lang w:eastAsia="en-GB"/>
              </w:rPr>
            </w:pPr>
          </w:p>
        </w:tc>
      </w:tr>
    </w:tbl>
    <w:p w:rsidR="00FA65D3" w:rsidRDefault="00FA65D3" w:rsidP="00B315E6">
      <w:pPr>
        <w:pStyle w:val="NormalWeb"/>
        <w:shd w:val="clear" w:color="auto" w:fill="FFFFFF"/>
        <w:spacing w:before="0" w:beforeAutospacing="0" w:after="390" w:afterAutospacing="0" w:line="480" w:lineRule="auto"/>
        <w:ind w:firstLine="720"/>
      </w:pPr>
      <w:r>
        <w:t xml:space="preserve">In the Arizona state, Arable lands have relatively increased since 2009 all through to 2018. This might be due to </w:t>
      </w:r>
      <w:r w:rsidR="00D40C58">
        <w:t>proper land policy that was put in place. Also, agricultural does well in the Arizona state and this can also be another factor to contributing to the more arable land within the Arizona state.</w:t>
      </w:r>
    </w:p>
    <w:p w:rsidR="009656BF" w:rsidRDefault="009656BF" w:rsidP="00B315E6">
      <w:pPr>
        <w:pStyle w:val="NormalWeb"/>
        <w:shd w:val="clear" w:color="auto" w:fill="FFFFFF"/>
        <w:spacing w:before="0" w:beforeAutospacing="0" w:after="390" w:afterAutospacing="0" w:line="480" w:lineRule="auto"/>
        <w:ind w:firstLine="720"/>
      </w:pPr>
    </w:p>
    <w:tbl>
      <w:tblPr>
        <w:tblW w:w="9620" w:type="dxa"/>
        <w:tblInd w:w="-10" w:type="dxa"/>
        <w:tblLook w:val="04A0" w:firstRow="1" w:lastRow="0" w:firstColumn="1" w:lastColumn="0" w:noHBand="0" w:noVBand="1"/>
      </w:tblPr>
      <w:tblGrid>
        <w:gridCol w:w="1100"/>
        <w:gridCol w:w="840"/>
        <w:gridCol w:w="860"/>
        <w:gridCol w:w="920"/>
        <w:gridCol w:w="880"/>
        <w:gridCol w:w="860"/>
        <w:gridCol w:w="860"/>
        <w:gridCol w:w="820"/>
        <w:gridCol w:w="840"/>
        <w:gridCol w:w="820"/>
        <w:gridCol w:w="820"/>
      </w:tblGrid>
      <w:tr w:rsidR="009656BF" w:rsidRPr="009656BF" w:rsidTr="009656BF">
        <w:trPr>
          <w:trHeight w:val="300"/>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rPr>
                <w:rFonts w:ascii="Calibri" w:eastAsia="Times New Roman" w:hAnsi="Calibri" w:cs="Calibri"/>
                <w:color w:val="000000"/>
                <w:lang w:eastAsia="en-GB"/>
              </w:rPr>
            </w:pPr>
            <w:r w:rsidRPr="009656BF">
              <w:rPr>
                <w:rFonts w:ascii="Calibri" w:eastAsia="Times New Roman" w:hAnsi="Calibri" w:cs="Calibri"/>
                <w:color w:val="000000"/>
                <w:lang w:eastAsia="en-GB"/>
              </w:rPr>
              <w:t>Year</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2009</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2010</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2011</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2012</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2013</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2014</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2015</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2016</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2017</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2018</w:t>
            </w:r>
          </w:p>
        </w:tc>
      </w:tr>
      <w:tr w:rsidR="009656BF" w:rsidRPr="009656BF" w:rsidTr="009656BF">
        <w:trPr>
          <w:trHeight w:val="885"/>
        </w:trPr>
        <w:tc>
          <w:tcPr>
            <w:tcW w:w="1100" w:type="dxa"/>
            <w:tcBorders>
              <w:top w:val="nil"/>
              <w:left w:val="single" w:sz="4" w:space="0" w:color="auto"/>
              <w:bottom w:val="single" w:sz="4" w:space="0" w:color="auto"/>
              <w:right w:val="single" w:sz="4" w:space="0" w:color="auto"/>
            </w:tcBorders>
            <w:shd w:val="clear" w:color="auto" w:fill="auto"/>
            <w:vAlign w:val="bottom"/>
            <w:hideMark/>
          </w:tcPr>
          <w:p w:rsidR="009656BF" w:rsidRPr="009656BF" w:rsidRDefault="009656BF" w:rsidP="009656BF">
            <w:pPr>
              <w:spacing w:after="0" w:line="240" w:lineRule="auto"/>
              <w:rPr>
                <w:rFonts w:ascii="Calibri" w:eastAsia="Times New Roman" w:hAnsi="Calibri" w:cs="Calibri"/>
                <w:color w:val="000000"/>
                <w:lang w:eastAsia="en-GB"/>
              </w:rPr>
            </w:pPr>
            <w:r w:rsidRPr="009656BF">
              <w:rPr>
                <w:rFonts w:ascii="Calibri" w:eastAsia="Times New Roman" w:hAnsi="Calibri" w:cs="Calibri"/>
                <w:color w:val="000000"/>
                <w:lang w:eastAsia="en-GB"/>
              </w:rPr>
              <w:t>School Dropout</w:t>
            </w:r>
          </w:p>
        </w:tc>
        <w:tc>
          <w:tcPr>
            <w:tcW w:w="840" w:type="dxa"/>
            <w:tcBorders>
              <w:top w:val="nil"/>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10.4</w:t>
            </w:r>
          </w:p>
        </w:tc>
        <w:tc>
          <w:tcPr>
            <w:tcW w:w="860" w:type="dxa"/>
            <w:tcBorders>
              <w:top w:val="nil"/>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10</w:t>
            </w:r>
          </w:p>
        </w:tc>
        <w:tc>
          <w:tcPr>
            <w:tcW w:w="920" w:type="dxa"/>
            <w:tcBorders>
              <w:top w:val="nil"/>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9.8</w:t>
            </w:r>
          </w:p>
        </w:tc>
        <w:tc>
          <w:tcPr>
            <w:tcW w:w="880" w:type="dxa"/>
            <w:tcBorders>
              <w:top w:val="nil"/>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9.7</w:t>
            </w:r>
          </w:p>
        </w:tc>
        <w:tc>
          <w:tcPr>
            <w:tcW w:w="860" w:type="dxa"/>
            <w:tcBorders>
              <w:top w:val="nil"/>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9.8</w:t>
            </w:r>
          </w:p>
        </w:tc>
        <w:tc>
          <w:tcPr>
            <w:tcW w:w="860" w:type="dxa"/>
            <w:tcBorders>
              <w:top w:val="nil"/>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10</w:t>
            </w:r>
          </w:p>
        </w:tc>
        <w:tc>
          <w:tcPr>
            <w:tcW w:w="820" w:type="dxa"/>
            <w:tcBorders>
              <w:top w:val="nil"/>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10</w:t>
            </w:r>
          </w:p>
        </w:tc>
        <w:tc>
          <w:tcPr>
            <w:tcW w:w="840" w:type="dxa"/>
            <w:tcBorders>
              <w:top w:val="nil"/>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10</w:t>
            </w:r>
          </w:p>
        </w:tc>
        <w:tc>
          <w:tcPr>
            <w:tcW w:w="820" w:type="dxa"/>
            <w:tcBorders>
              <w:top w:val="nil"/>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10</w:t>
            </w:r>
          </w:p>
        </w:tc>
        <w:tc>
          <w:tcPr>
            <w:tcW w:w="820" w:type="dxa"/>
            <w:tcBorders>
              <w:top w:val="nil"/>
              <w:left w:val="nil"/>
              <w:bottom w:val="single" w:sz="4" w:space="0" w:color="auto"/>
              <w:right w:val="single" w:sz="4" w:space="0" w:color="auto"/>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r w:rsidRPr="009656BF">
              <w:rPr>
                <w:rFonts w:ascii="Calibri" w:eastAsia="Times New Roman" w:hAnsi="Calibri" w:cs="Calibri"/>
                <w:color w:val="000000"/>
                <w:lang w:eastAsia="en-GB"/>
              </w:rPr>
              <w:t>9</w:t>
            </w:r>
          </w:p>
        </w:tc>
      </w:tr>
      <w:tr w:rsidR="009656BF" w:rsidRPr="009656BF" w:rsidTr="009656BF">
        <w:trPr>
          <w:trHeight w:val="300"/>
        </w:trPr>
        <w:tc>
          <w:tcPr>
            <w:tcW w:w="1100" w:type="dxa"/>
            <w:tcBorders>
              <w:top w:val="nil"/>
              <w:left w:val="nil"/>
              <w:bottom w:val="nil"/>
              <w:right w:val="nil"/>
            </w:tcBorders>
            <w:shd w:val="clear" w:color="auto" w:fill="auto"/>
            <w:noWrap/>
            <w:vAlign w:val="bottom"/>
            <w:hideMark/>
          </w:tcPr>
          <w:p w:rsidR="009656BF" w:rsidRPr="009656BF" w:rsidRDefault="009656BF" w:rsidP="009656BF">
            <w:pPr>
              <w:spacing w:after="0" w:line="240" w:lineRule="auto"/>
              <w:jc w:val="right"/>
              <w:rPr>
                <w:rFonts w:ascii="Calibri" w:eastAsia="Times New Roman" w:hAnsi="Calibri" w:cs="Calibri"/>
                <w:color w:val="000000"/>
                <w:lang w:eastAsia="en-GB"/>
              </w:rPr>
            </w:pPr>
          </w:p>
        </w:tc>
        <w:tc>
          <w:tcPr>
            <w:tcW w:w="840" w:type="dxa"/>
            <w:tcBorders>
              <w:top w:val="nil"/>
              <w:left w:val="nil"/>
              <w:bottom w:val="nil"/>
              <w:right w:val="nil"/>
            </w:tcBorders>
            <w:shd w:val="clear" w:color="auto" w:fill="auto"/>
            <w:noWrap/>
            <w:vAlign w:val="bottom"/>
            <w:hideMark/>
          </w:tcPr>
          <w:p w:rsidR="009656BF" w:rsidRPr="009656BF" w:rsidRDefault="009656BF" w:rsidP="009656BF">
            <w:pPr>
              <w:spacing w:after="0" w:line="240" w:lineRule="auto"/>
              <w:rPr>
                <w:rFonts w:ascii="Times New Roman" w:eastAsia="Times New Roman" w:hAnsi="Times New Roman" w:cs="Times New Roman"/>
                <w:sz w:val="20"/>
                <w:szCs w:val="20"/>
                <w:lang w:eastAsia="en-GB"/>
              </w:rPr>
            </w:pPr>
          </w:p>
        </w:tc>
        <w:tc>
          <w:tcPr>
            <w:tcW w:w="860" w:type="dxa"/>
            <w:tcBorders>
              <w:top w:val="nil"/>
              <w:left w:val="nil"/>
              <w:bottom w:val="nil"/>
              <w:right w:val="nil"/>
            </w:tcBorders>
            <w:shd w:val="clear" w:color="auto" w:fill="auto"/>
            <w:noWrap/>
            <w:vAlign w:val="bottom"/>
            <w:hideMark/>
          </w:tcPr>
          <w:p w:rsidR="009656BF" w:rsidRPr="009656BF" w:rsidRDefault="009656BF" w:rsidP="009656BF">
            <w:pPr>
              <w:spacing w:after="0" w:line="240" w:lineRule="auto"/>
              <w:rPr>
                <w:rFonts w:ascii="Times New Roman" w:eastAsia="Times New Roman" w:hAnsi="Times New Roman" w:cs="Times New Roman"/>
                <w:sz w:val="20"/>
                <w:szCs w:val="20"/>
                <w:lang w:eastAsia="en-GB"/>
              </w:rPr>
            </w:pPr>
          </w:p>
        </w:tc>
        <w:tc>
          <w:tcPr>
            <w:tcW w:w="920" w:type="dxa"/>
            <w:tcBorders>
              <w:top w:val="nil"/>
              <w:left w:val="nil"/>
              <w:bottom w:val="nil"/>
              <w:right w:val="nil"/>
            </w:tcBorders>
            <w:shd w:val="clear" w:color="auto" w:fill="auto"/>
            <w:noWrap/>
            <w:vAlign w:val="bottom"/>
            <w:hideMark/>
          </w:tcPr>
          <w:p w:rsidR="009656BF" w:rsidRPr="009656BF" w:rsidRDefault="009656BF" w:rsidP="009656BF">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shd w:val="clear" w:color="auto" w:fill="auto"/>
            <w:noWrap/>
            <w:vAlign w:val="bottom"/>
            <w:hideMark/>
          </w:tcPr>
          <w:p w:rsidR="009656BF" w:rsidRPr="009656BF" w:rsidRDefault="009656BF" w:rsidP="009656BF">
            <w:pPr>
              <w:spacing w:after="0" w:line="240" w:lineRule="auto"/>
              <w:rPr>
                <w:rFonts w:ascii="Times New Roman" w:eastAsia="Times New Roman" w:hAnsi="Times New Roman" w:cs="Times New Roman"/>
                <w:sz w:val="20"/>
                <w:szCs w:val="20"/>
                <w:lang w:eastAsia="en-GB"/>
              </w:rPr>
            </w:pPr>
          </w:p>
        </w:tc>
        <w:tc>
          <w:tcPr>
            <w:tcW w:w="860" w:type="dxa"/>
            <w:tcBorders>
              <w:top w:val="nil"/>
              <w:left w:val="nil"/>
              <w:bottom w:val="nil"/>
              <w:right w:val="nil"/>
            </w:tcBorders>
            <w:shd w:val="clear" w:color="auto" w:fill="auto"/>
            <w:noWrap/>
            <w:vAlign w:val="bottom"/>
            <w:hideMark/>
          </w:tcPr>
          <w:p w:rsidR="009656BF" w:rsidRPr="009656BF" w:rsidRDefault="009656BF" w:rsidP="009656BF">
            <w:pPr>
              <w:spacing w:after="0" w:line="240" w:lineRule="auto"/>
              <w:rPr>
                <w:rFonts w:ascii="Times New Roman" w:eastAsia="Times New Roman" w:hAnsi="Times New Roman" w:cs="Times New Roman"/>
                <w:sz w:val="20"/>
                <w:szCs w:val="20"/>
                <w:lang w:eastAsia="en-GB"/>
              </w:rPr>
            </w:pPr>
          </w:p>
        </w:tc>
        <w:tc>
          <w:tcPr>
            <w:tcW w:w="860" w:type="dxa"/>
            <w:tcBorders>
              <w:top w:val="nil"/>
              <w:left w:val="nil"/>
              <w:bottom w:val="nil"/>
              <w:right w:val="nil"/>
            </w:tcBorders>
            <w:shd w:val="clear" w:color="auto" w:fill="auto"/>
            <w:noWrap/>
            <w:vAlign w:val="bottom"/>
            <w:hideMark/>
          </w:tcPr>
          <w:p w:rsidR="009656BF" w:rsidRPr="009656BF" w:rsidRDefault="009656BF" w:rsidP="009656BF">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rsidR="009656BF" w:rsidRPr="009656BF" w:rsidRDefault="009656BF" w:rsidP="009656BF">
            <w:pPr>
              <w:spacing w:after="0" w:line="240" w:lineRule="auto"/>
              <w:rPr>
                <w:rFonts w:ascii="Times New Roman" w:eastAsia="Times New Roman" w:hAnsi="Times New Roman" w:cs="Times New Roman"/>
                <w:sz w:val="20"/>
                <w:szCs w:val="20"/>
                <w:lang w:eastAsia="en-GB"/>
              </w:rPr>
            </w:pPr>
          </w:p>
        </w:tc>
        <w:tc>
          <w:tcPr>
            <w:tcW w:w="840" w:type="dxa"/>
            <w:tcBorders>
              <w:top w:val="nil"/>
              <w:left w:val="nil"/>
              <w:bottom w:val="nil"/>
              <w:right w:val="nil"/>
            </w:tcBorders>
            <w:shd w:val="clear" w:color="auto" w:fill="auto"/>
            <w:noWrap/>
            <w:vAlign w:val="bottom"/>
            <w:hideMark/>
          </w:tcPr>
          <w:p w:rsidR="009656BF" w:rsidRPr="009656BF" w:rsidRDefault="009656BF" w:rsidP="009656BF">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rsidR="009656BF" w:rsidRPr="009656BF" w:rsidRDefault="009656BF" w:rsidP="009656BF">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rsidR="009656BF" w:rsidRPr="009656BF" w:rsidRDefault="009656BF" w:rsidP="009656BF">
            <w:pPr>
              <w:spacing w:after="0" w:line="240" w:lineRule="auto"/>
              <w:rPr>
                <w:rFonts w:ascii="Times New Roman" w:eastAsia="Times New Roman" w:hAnsi="Times New Roman" w:cs="Times New Roman"/>
                <w:sz w:val="20"/>
                <w:szCs w:val="20"/>
                <w:lang w:eastAsia="en-GB"/>
              </w:rPr>
            </w:pPr>
          </w:p>
        </w:tc>
      </w:tr>
      <w:tr w:rsidR="009656BF" w:rsidRPr="009656BF" w:rsidTr="009656BF">
        <w:trPr>
          <w:trHeight w:val="300"/>
        </w:trPr>
        <w:tc>
          <w:tcPr>
            <w:tcW w:w="8800" w:type="dxa"/>
            <w:gridSpan w:val="10"/>
            <w:tcBorders>
              <w:top w:val="nil"/>
              <w:left w:val="nil"/>
              <w:bottom w:val="nil"/>
              <w:right w:val="nil"/>
            </w:tcBorders>
            <w:shd w:val="clear" w:color="auto" w:fill="auto"/>
            <w:noWrap/>
            <w:vAlign w:val="bottom"/>
            <w:hideMark/>
          </w:tcPr>
          <w:p w:rsidR="009656BF" w:rsidRDefault="009656BF" w:rsidP="009656B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Arizona School Drop outs Data From</w:t>
            </w:r>
            <w:r w:rsidRPr="009656BF">
              <w:rPr>
                <w:rFonts w:ascii="Calibri" w:eastAsia="Times New Roman" w:hAnsi="Calibri" w:cs="Calibri"/>
                <w:color w:val="000000"/>
                <w:lang w:eastAsia="en-GB"/>
              </w:rPr>
              <w:t xml:space="preserve"> 2009 TO 2018: Data extracted from Stati</w:t>
            </w:r>
            <w:r>
              <w:rPr>
                <w:rFonts w:ascii="Calibri" w:eastAsia="Times New Roman" w:hAnsi="Calibri" w:cs="Calibri"/>
                <w:color w:val="000000"/>
                <w:lang w:eastAsia="en-GB"/>
              </w:rPr>
              <w:t>stics from the Census Department.</w:t>
            </w:r>
          </w:p>
          <w:p w:rsidR="009656BF" w:rsidRDefault="009656BF" w:rsidP="009656BF">
            <w:pPr>
              <w:spacing w:after="0" w:line="240" w:lineRule="auto"/>
              <w:rPr>
                <w:rFonts w:ascii="Calibri" w:eastAsia="Times New Roman" w:hAnsi="Calibri" w:cs="Calibri"/>
                <w:color w:val="000000"/>
                <w:lang w:eastAsia="en-GB"/>
              </w:rPr>
            </w:pPr>
          </w:p>
          <w:p w:rsidR="009656BF" w:rsidRDefault="009656BF" w:rsidP="009656BF">
            <w:pPr>
              <w:spacing w:after="0" w:line="240" w:lineRule="auto"/>
              <w:rPr>
                <w:rFonts w:ascii="Calibri" w:eastAsia="Times New Roman" w:hAnsi="Calibri" w:cs="Calibri"/>
                <w:color w:val="000000"/>
                <w:lang w:eastAsia="en-GB"/>
              </w:rPr>
            </w:pPr>
          </w:p>
          <w:p w:rsidR="009656BF" w:rsidRDefault="009656BF" w:rsidP="009656BF">
            <w:pPr>
              <w:spacing w:after="0" w:line="240" w:lineRule="auto"/>
              <w:rPr>
                <w:rFonts w:ascii="Calibri" w:eastAsia="Times New Roman" w:hAnsi="Calibri" w:cs="Calibri"/>
                <w:color w:val="000000"/>
                <w:lang w:eastAsia="en-GB"/>
              </w:rPr>
            </w:pPr>
          </w:p>
          <w:p w:rsidR="009656BF" w:rsidRDefault="009656BF" w:rsidP="009656BF">
            <w:pPr>
              <w:spacing w:after="0" w:line="240" w:lineRule="auto"/>
              <w:rPr>
                <w:rFonts w:ascii="Calibri" w:eastAsia="Times New Roman" w:hAnsi="Calibri" w:cs="Calibri"/>
                <w:color w:val="000000"/>
                <w:lang w:eastAsia="en-GB"/>
              </w:rPr>
            </w:pPr>
          </w:p>
          <w:p w:rsidR="009656BF" w:rsidRPr="009656BF" w:rsidRDefault="009656BF" w:rsidP="009656BF">
            <w:pPr>
              <w:spacing w:after="0" w:line="240" w:lineRule="auto"/>
              <w:rPr>
                <w:rFonts w:ascii="Calibri" w:eastAsia="Times New Roman" w:hAnsi="Calibri" w:cs="Calibri"/>
                <w:color w:val="000000"/>
                <w:lang w:eastAsia="en-GB"/>
              </w:rPr>
            </w:pPr>
            <w:r>
              <w:rPr>
                <w:noProof/>
                <w:lang w:eastAsia="en-GB"/>
              </w:rPr>
              <w:drawing>
                <wp:inline distT="0" distB="0" distL="0" distR="0" wp14:anchorId="74568868" wp14:editId="664A9003">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c>
          <w:tcPr>
            <w:tcW w:w="820" w:type="dxa"/>
            <w:tcBorders>
              <w:top w:val="nil"/>
              <w:left w:val="nil"/>
              <w:bottom w:val="nil"/>
              <w:right w:val="nil"/>
            </w:tcBorders>
            <w:shd w:val="clear" w:color="auto" w:fill="auto"/>
            <w:noWrap/>
            <w:vAlign w:val="bottom"/>
            <w:hideMark/>
          </w:tcPr>
          <w:p w:rsidR="009656BF" w:rsidRPr="009656BF" w:rsidRDefault="009656BF" w:rsidP="009656BF">
            <w:pPr>
              <w:spacing w:after="0" w:line="240" w:lineRule="auto"/>
              <w:rPr>
                <w:rFonts w:ascii="Calibri" w:eastAsia="Times New Roman" w:hAnsi="Calibri" w:cs="Calibri"/>
                <w:color w:val="000000"/>
                <w:lang w:eastAsia="en-GB"/>
              </w:rPr>
            </w:pPr>
          </w:p>
        </w:tc>
      </w:tr>
    </w:tbl>
    <w:p w:rsidR="009656BF" w:rsidRDefault="009656BF" w:rsidP="009656BF">
      <w:pPr>
        <w:pStyle w:val="NormalWeb"/>
        <w:shd w:val="clear" w:color="auto" w:fill="FFFFFF"/>
        <w:spacing w:before="0" w:beforeAutospacing="0" w:after="390" w:afterAutospacing="0" w:line="480" w:lineRule="auto"/>
      </w:pPr>
      <w:r>
        <w:t xml:space="preserve">Graphical representation of school dropout rate </w:t>
      </w:r>
    </w:p>
    <w:p w:rsidR="009656BF" w:rsidRDefault="009656BF" w:rsidP="009656BF">
      <w:pPr>
        <w:pStyle w:val="NormalWeb"/>
        <w:shd w:val="clear" w:color="auto" w:fill="FFFFFF"/>
        <w:spacing w:before="0" w:beforeAutospacing="0" w:after="390" w:afterAutospacing="0" w:line="480" w:lineRule="auto"/>
      </w:pPr>
      <w:r>
        <w:t>It is very sad to note that the Arizona state has the highest number of school dropouts. Education wise</w:t>
      </w:r>
      <w:r w:rsidR="000F762C">
        <w:t>. Arizona S</w:t>
      </w:r>
      <w:r w:rsidR="00D426CB">
        <w:t>tate ranks</w:t>
      </w:r>
      <w:r>
        <w:t xml:space="preserve"> the 45</w:t>
      </w:r>
      <w:r w:rsidRPr="009656BF">
        <w:rPr>
          <w:vertAlign w:val="superscript"/>
        </w:rPr>
        <w:t>th</w:t>
      </w:r>
      <w:r>
        <w:t xml:space="preserve"> out of the 50 US</w:t>
      </w:r>
      <w:r w:rsidR="00D426CB">
        <w:t xml:space="preserve"> States offering a low quality education to her citizens.</w:t>
      </w:r>
    </w:p>
    <w:p w:rsidR="00D426CB" w:rsidRDefault="00D426CB" w:rsidP="009656BF">
      <w:pPr>
        <w:pStyle w:val="NormalWeb"/>
        <w:shd w:val="clear" w:color="auto" w:fill="FFFFFF"/>
        <w:spacing w:before="0" w:beforeAutospacing="0" w:after="390" w:afterAutospacing="0" w:line="480" w:lineRule="auto"/>
      </w:pPr>
      <w:r>
        <w:t>Although as from year 2017, a decline in school dropouts was witnessed. Measures might have been put in place to curb the school dropouts.</w:t>
      </w:r>
    </w:p>
    <w:p w:rsidR="00944694" w:rsidRDefault="00944694" w:rsidP="009656BF">
      <w:pPr>
        <w:pStyle w:val="NormalWeb"/>
        <w:shd w:val="clear" w:color="auto" w:fill="FFFFFF"/>
        <w:spacing w:before="0" w:beforeAutospacing="0" w:after="390" w:afterAutospacing="0" w:line="480" w:lineRule="auto"/>
      </w:pPr>
      <w:r>
        <w:t>From the great recession period, GDP, Disposable income and Arable lands have been on the rise indicating that the economy of Arizona is doing well</w:t>
      </w:r>
      <w:r w:rsidR="00B5339D">
        <w:t xml:space="preserve"> and that it was growing.</w:t>
      </w:r>
    </w:p>
    <w:p w:rsidR="00B5339D" w:rsidRDefault="00B5339D" w:rsidP="009656BF">
      <w:pPr>
        <w:pStyle w:val="NormalWeb"/>
        <w:shd w:val="clear" w:color="auto" w:fill="FFFFFF"/>
        <w:spacing w:before="0" w:beforeAutospacing="0" w:after="390" w:afterAutospacing="0" w:line="480" w:lineRule="auto"/>
      </w:pPr>
    </w:p>
    <w:p w:rsidR="00B5339D" w:rsidRPr="007211C4" w:rsidRDefault="00B5339D" w:rsidP="009656BF">
      <w:pPr>
        <w:pStyle w:val="NormalWeb"/>
        <w:shd w:val="clear" w:color="auto" w:fill="FFFFFF"/>
        <w:spacing w:before="0" w:beforeAutospacing="0" w:after="390" w:afterAutospacing="0" w:line="480" w:lineRule="auto"/>
        <w:rPr>
          <w:b/>
        </w:rPr>
      </w:pPr>
      <w:r w:rsidRPr="007211C4">
        <w:rPr>
          <w:b/>
        </w:rPr>
        <w:t>Conclusion</w:t>
      </w:r>
    </w:p>
    <w:p w:rsidR="00B5339D" w:rsidRDefault="00B5339D" w:rsidP="009656BF">
      <w:pPr>
        <w:pStyle w:val="NormalWeb"/>
        <w:shd w:val="clear" w:color="auto" w:fill="FFFFFF"/>
        <w:spacing w:before="0" w:beforeAutospacing="0" w:after="390" w:afterAutospacing="0" w:line="480" w:lineRule="auto"/>
      </w:pPr>
      <w:r>
        <w:t xml:space="preserve">From the analysis of the following macroeconomic variables, they have indicated growth to the positive side. The state’s economy is growing </w:t>
      </w:r>
      <w:r w:rsidR="007211C4">
        <w:t>and</w:t>
      </w:r>
      <w:r>
        <w:t xml:space="preserve"> it is developing. However, the governor and the other leaders need to check on areas like infrastructural developments, which seem to have lagged behind.</w:t>
      </w:r>
    </w:p>
    <w:p w:rsidR="00B5339D" w:rsidRDefault="00B5339D" w:rsidP="009656BF">
      <w:pPr>
        <w:pStyle w:val="NormalWeb"/>
        <w:shd w:val="clear" w:color="auto" w:fill="FFFFFF"/>
        <w:spacing w:before="0" w:beforeAutospacing="0" w:after="390" w:afterAutospacing="0" w:line="480" w:lineRule="auto"/>
      </w:pPr>
      <w:r>
        <w:t xml:space="preserve">The issue of education needs an immediate response. In any country where education is not part of the agenda, then the country is prone to </w:t>
      </w:r>
      <w:r w:rsidR="007211C4">
        <w:t>underdevelopment or rather to lag behind in terms of development.</w:t>
      </w:r>
    </w:p>
    <w:p w:rsidR="00B5339D" w:rsidRDefault="00B5339D" w:rsidP="009656BF">
      <w:pPr>
        <w:pStyle w:val="NormalWeb"/>
        <w:shd w:val="clear" w:color="auto" w:fill="FFFFFF"/>
        <w:spacing w:before="0" w:beforeAutospacing="0" w:after="390" w:afterAutospacing="0" w:line="480" w:lineRule="auto"/>
      </w:pPr>
    </w:p>
    <w:p w:rsidR="00891EBD" w:rsidRDefault="00891EBD" w:rsidP="009656BF">
      <w:pPr>
        <w:pStyle w:val="NormalWeb"/>
        <w:shd w:val="clear" w:color="auto" w:fill="FFFFFF"/>
        <w:spacing w:before="0" w:beforeAutospacing="0" w:after="390" w:afterAutospacing="0" w:line="480" w:lineRule="auto"/>
      </w:pPr>
    </w:p>
    <w:p w:rsidR="00891EBD" w:rsidRDefault="00891EBD" w:rsidP="009656BF">
      <w:pPr>
        <w:pStyle w:val="NormalWeb"/>
        <w:shd w:val="clear" w:color="auto" w:fill="FFFFFF"/>
        <w:spacing w:before="0" w:beforeAutospacing="0" w:after="390" w:afterAutospacing="0" w:line="480" w:lineRule="auto"/>
      </w:pPr>
    </w:p>
    <w:p w:rsidR="00891EBD" w:rsidRDefault="00891EBD" w:rsidP="009656BF">
      <w:pPr>
        <w:pStyle w:val="NormalWeb"/>
        <w:shd w:val="clear" w:color="auto" w:fill="FFFFFF"/>
        <w:spacing w:before="0" w:beforeAutospacing="0" w:after="390" w:afterAutospacing="0" w:line="480" w:lineRule="auto"/>
      </w:pPr>
    </w:p>
    <w:p w:rsidR="00891EBD" w:rsidRDefault="00891EBD" w:rsidP="009656BF">
      <w:pPr>
        <w:pStyle w:val="NormalWeb"/>
        <w:shd w:val="clear" w:color="auto" w:fill="FFFFFF"/>
        <w:spacing w:before="0" w:beforeAutospacing="0" w:after="390" w:afterAutospacing="0" w:line="480" w:lineRule="auto"/>
      </w:pPr>
    </w:p>
    <w:p w:rsidR="00891EBD" w:rsidRDefault="00891EBD" w:rsidP="009656BF">
      <w:pPr>
        <w:pStyle w:val="NormalWeb"/>
        <w:shd w:val="clear" w:color="auto" w:fill="FFFFFF"/>
        <w:spacing w:before="0" w:beforeAutospacing="0" w:after="390" w:afterAutospacing="0" w:line="480" w:lineRule="auto"/>
      </w:pPr>
    </w:p>
    <w:p w:rsidR="00891EBD" w:rsidRDefault="00891EBD" w:rsidP="009656BF">
      <w:pPr>
        <w:pStyle w:val="NormalWeb"/>
        <w:shd w:val="clear" w:color="auto" w:fill="FFFFFF"/>
        <w:spacing w:before="0" w:beforeAutospacing="0" w:after="390" w:afterAutospacing="0" w:line="480" w:lineRule="auto"/>
      </w:pPr>
    </w:p>
    <w:p w:rsidR="00891EBD" w:rsidRDefault="00891EBD" w:rsidP="009656BF">
      <w:pPr>
        <w:pStyle w:val="NormalWeb"/>
        <w:shd w:val="clear" w:color="auto" w:fill="FFFFFF"/>
        <w:spacing w:before="0" w:beforeAutospacing="0" w:after="390" w:afterAutospacing="0" w:line="480" w:lineRule="auto"/>
      </w:pPr>
    </w:p>
    <w:p w:rsidR="00891EBD" w:rsidRDefault="00891EBD" w:rsidP="009656BF">
      <w:pPr>
        <w:pStyle w:val="NormalWeb"/>
        <w:shd w:val="clear" w:color="auto" w:fill="FFFFFF"/>
        <w:spacing w:before="0" w:beforeAutospacing="0" w:after="390" w:afterAutospacing="0" w:line="480" w:lineRule="auto"/>
      </w:pPr>
    </w:p>
    <w:p w:rsidR="00891EBD" w:rsidRDefault="00891EBD" w:rsidP="009656BF">
      <w:pPr>
        <w:pStyle w:val="NormalWeb"/>
        <w:shd w:val="clear" w:color="auto" w:fill="FFFFFF"/>
        <w:spacing w:before="0" w:beforeAutospacing="0" w:after="390" w:afterAutospacing="0" w:line="480" w:lineRule="auto"/>
      </w:pPr>
    </w:p>
    <w:p w:rsidR="00891EBD" w:rsidRDefault="00891EBD" w:rsidP="009656BF">
      <w:pPr>
        <w:pStyle w:val="NormalWeb"/>
        <w:shd w:val="clear" w:color="auto" w:fill="FFFFFF"/>
        <w:spacing w:before="0" w:beforeAutospacing="0" w:after="390" w:afterAutospacing="0" w:line="480" w:lineRule="auto"/>
      </w:pPr>
    </w:p>
    <w:p w:rsidR="00891EBD" w:rsidRDefault="00891EBD" w:rsidP="009656BF">
      <w:pPr>
        <w:pStyle w:val="NormalWeb"/>
        <w:shd w:val="clear" w:color="auto" w:fill="FFFFFF"/>
        <w:spacing w:before="0" w:beforeAutospacing="0" w:after="390" w:afterAutospacing="0" w:line="480" w:lineRule="auto"/>
      </w:pPr>
    </w:p>
    <w:p w:rsidR="00891EBD" w:rsidRDefault="00891EBD" w:rsidP="00891EBD">
      <w:pPr>
        <w:pStyle w:val="NormalWeb"/>
        <w:shd w:val="clear" w:color="auto" w:fill="FFFFFF"/>
        <w:spacing w:before="0" w:beforeAutospacing="0" w:after="390" w:afterAutospacing="0" w:line="480" w:lineRule="auto"/>
        <w:jc w:val="center"/>
      </w:pPr>
      <w:r>
        <w:t>References</w:t>
      </w:r>
    </w:p>
    <w:p w:rsidR="00891EBD" w:rsidRDefault="00891EBD" w:rsidP="00891EBD">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American Community Survey. Population and Economic Survey (2012-2017)</w:t>
      </w:r>
    </w:p>
    <w:p w:rsidR="00891EBD" w:rsidRPr="00FC6E84" w:rsidRDefault="00891EBD" w:rsidP="00891EBD">
      <w:pPr>
        <w:spacing w:line="240" w:lineRule="auto"/>
        <w:ind w:left="720" w:hanging="720"/>
        <w:rPr>
          <w:rFonts w:ascii="Times New Roman" w:eastAsia="Times New Roman" w:hAnsi="Times New Roman" w:cs="Times New Roman"/>
          <w:sz w:val="24"/>
          <w:szCs w:val="24"/>
        </w:rPr>
      </w:pPr>
      <w:r w:rsidRPr="00B95583">
        <w:rPr>
          <w:rFonts w:ascii="Times New Roman" w:eastAsia="Times New Roman" w:hAnsi="Times New Roman" w:cs="Times New Roman"/>
          <w:sz w:val="24"/>
          <w:szCs w:val="24"/>
        </w:rPr>
        <w:t xml:space="preserve">Economic and Business Research Centre. </w:t>
      </w:r>
      <w:r w:rsidRPr="003F0939">
        <w:rPr>
          <w:rFonts w:ascii="Times New Roman" w:eastAsia="Times New Roman" w:hAnsi="Times New Roman" w:cs="Times New Roman"/>
          <w:i/>
          <w:sz w:val="24"/>
          <w:szCs w:val="24"/>
        </w:rPr>
        <w:t xml:space="preserve">Arizona Economic </w:t>
      </w:r>
      <w:r w:rsidRPr="00FC6E84">
        <w:rPr>
          <w:rFonts w:ascii="Times New Roman" w:eastAsia="Times New Roman" w:hAnsi="Times New Roman" w:cs="Times New Roman"/>
          <w:i/>
          <w:color w:val="000000" w:themeColor="text1"/>
          <w:sz w:val="24"/>
          <w:szCs w:val="24"/>
        </w:rPr>
        <w:t xml:space="preserve">Indicators: </w:t>
      </w:r>
      <w:r w:rsidRPr="00FC6E84">
        <w:rPr>
          <w:rFonts w:ascii="Times New Roman" w:eastAsia="Times New Roman" w:hAnsi="Times New Roman" w:cs="Times New Roman"/>
          <w:bCs/>
          <w:i/>
          <w:color w:val="000000" w:themeColor="text1"/>
          <w:sz w:val="24"/>
          <w:szCs w:val="24"/>
        </w:rPr>
        <w:t>Track major economic indicators for Arizona, its metro areas, and counties</w:t>
      </w:r>
      <w:r w:rsidRPr="00FC6E84">
        <w:rPr>
          <w:rFonts w:ascii="Times New Roman" w:eastAsia="Times New Roman" w:hAnsi="Times New Roman" w:cs="Times New Roman"/>
          <w:bCs/>
          <w:color w:val="000000" w:themeColor="text1"/>
          <w:sz w:val="24"/>
          <w:szCs w:val="24"/>
        </w:rPr>
        <w:t xml:space="preserve">. </w:t>
      </w:r>
      <w:hyperlink r:id="rId14" w:history="1">
        <w:r w:rsidRPr="00FC6E84">
          <w:rPr>
            <w:rStyle w:val="Hyperlink"/>
            <w:rFonts w:ascii="Times New Roman" w:eastAsia="Times New Roman" w:hAnsi="Times New Roman" w:cs="Times New Roman"/>
            <w:bCs/>
            <w:color w:val="000000" w:themeColor="text1"/>
            <w:sz w:val="24"/>
            <w:szCs w:val="24"/>
          </w:rPr>
          <w:t>https://www.azeconomy.org/data/</w:t>
        </w:r>
      </w:hyperlink>
      <w:r>
        <w:rPr>
          <w:rFonts w:ascii="Times New Roman" w:eastAsia="Times New Roman" w:hAnsi="Times New Roman" w:cs="Times New Roman"/>
          <w:bCs/>
          <w:sz w:val="24"/>
          <w:szCs w:val="24"/>
        </w:rPr>
        <w:t xml:space="preserve"> </w:t>
      </w:r>
    </w:p>
    <w:p w:rsidR="00891EBD" w:rsidRPr="00F3671A" w:rsidRDefault="00891EBD" w:rsidP="00891EBD">
      <w:pPr>
        <w:shd w:val="clear" w:color="auto" w:fill="FFFFFF"/>
        <w:spacing w:after="0" w:line="0" w:lineRule="auto"/>
        <w:rPr>
          <w:rFonts w:ascii="ff4" w:eastAsia="Times New Roman" w:hAnsi="ff4" w:cs="Times New Roman"/>
          <w:color w:val="231F20"/>
          <w:sz w:val="54"/>
          <w:szCs w:val="54"/>
        </w:rPr>
      </w:pPr>
      <w:r w:rsidRPr="00F3671A">
        <w:rPr>
          <w:rFonts w:ascii="ff4" w:eastAsia="Times New Roman" w:hAnsi="ff4" w:cs="Times New Roman"/>
          <w:color w:val="231F20"/>
          <w:sz w:val="54"/>
          <w:szCs w:val="54"/>
        </w:rPr>
        <w:t xml:space="preserve">Kenworthy, L. (1995) </w:t>
      </w:r>
      <w:r w:rsidRPr="00F3671A">
        <w:rPr>
          <w:rFonts w:ascii="ff6" w:eastAsia="Times New Roman" w:hAnsi="ff6" w:cs="Times New Roman"/>
          <w:color w:val="231F20"/>
          <w:sz w:val="54"/>
        </w:rPr>
        <w:t>In Search of National Economic Success: Balancing Competition and</w:t>
      </w:r>
    </w:p>
    <w:p w:rsidR="00891EBD" w:rsidRPr="00F3671A" w:rsidRDefault="00891EBD" w:rsidP="00891EBD">
      <w:pPr>
        <w:shd w:val="clear" w:color="auto" w:fill="FFFFFF"/>
        <w:spacing w:after="0" w:line="0" w:lineRule="auto"/>
        <w:rPr>
          <w:rFonts w:ascii="ff6" w:eastAsia="Times New Roman" w:hAnsi="ff6" w:cs="Times New Roman"/>
          <w:color w:val="231F20"/>
          <w:sz w:val="54"/>
          <w:szCs w:val="54"/>
        </w:rPr>
      </w:pPr>
      <w:r w:rsidRPr="00F3671A">
        <w:rPr>
          <w:rFonts w:ascii="ff6" w:eastAsia="Times New Roman" w:hAnsi="ff6" w:cs="Times New Roman"/>
          <w:color w:val="231F20"/>
          <w:sz w:val="54"/>
          <w:szCs w:val="54"/>
        </w:rPr>
        <w:t>Cooperation</w:t>
      </w:r>
      <w:r w:rsidRPr="00F3671A">
        <w:rPr>
          <w:rFonts w:ascii="ff4" w:eastAsia="Times New Roman" w:hAnsi="ff4" w:cs="Times New Roman"/>
          <w:color w:val="231F20"/>
          <w:sz w:val="54"/>
        </w:rPr>
        <w:t>, Thousand Oaks, CA, Sage</w:t>
      </w:r>
    </w:p>
    <w:p w:rsidR="00891EBD" w:rsidRPr="00E920A3" w:rsidRDefault="00891EBD" w:rsidP="00891EBD">
      <w:pPr>
        <w:spacing w:line="240" w:lineRule="auto"/>
        <w:ind w:left="720" w:hanging="720"/>
        <w:rPr>
          <w:rFonts w:ascii="Times New Roman" w:hAnsi="Times New Roman" w:cs="Times New Roman"/>
          <w:sz w:val="24"/>
          <w:szCs w:val="24"/>
        </w:rPr>
      </w:pPr>
      <w:r w:rsidRPr="00E920A3">
        <w:rPr>
          <w:rFonts w:ascii="Times New Roman" w:hAnsi="Times New Roman" w:cs="Times New Roman"/>
          <w:sz w:val="24"/>
          <w:szCs w:val="24"/>
        </w:rPr>
        <w:t xml:space="preserve">Gober, Patricia. (2016). </w:t>
      </w:r>
      <w:r w:rsidRPr="00E920A3">
        <w:rPr>
          <w:rFonts w:ascii="Times New Roman" w:hAnsi="Times New Roman" w:cs="Times New Roman"/>
          <w:i/>
          <w:sz w:val="24"/>
          <w:szCs w:val="24"/>
        </w:rPr>
        <w:t xml:space="preserve">Metropolitan Phoenix: Place making and community building in the desert. </w:t>
      </w:r>
      <w:r w:rsidRPr="00E920A3">
        <w:rPr>
          <w:rFonts w:ascii="Times New Roman" w:hAnsi="Times New Roman" w:cs="Times New Roman"/>
          <w:sz w:val="24"/>
          <w:szCs w:val="24"/>
        </w:rPr>
        <w:t>Philadelphia: University of Pennsylvania Press</w:t>
      </w:r>
    </w:p>
    <w:p w:rsidR="00891EBD" w:rsidRDefault="00891EBD" w:rsidP="00891EBD">
      <w:pPr>
        <w:spacing w:line="240" w:lineRule="auto"/>
        <w:ind w:left="720" w:hanging="720"/>
        <w:rPr>
          <w:rFonts w:ascii="Times New Roman" w:eastAsia="Times New Roman" w:hAnsi="Times New Roman" w:cs="Times New Roman"/>
          <w:bCs/>
          <w:sz w:val="24"/>
          <w:szCs w:val="24"/>
        </w:rPr>
      </w:pPr>
      <w:r w:rsidRPr="00E920A3">
        <w:rPr>
          <w:rFonts w:ascii="Times New Roman" w:eastAsia="Times New Roman" w:hAnsi="Times New Roman" w:cs="Times New Roman"/>
          <w:bCs/>
          <w:sz w:val="24"/>
          <w:szCs w:val="24"/>
        </w:rPr>
        <w:t>Kenworthy</w:t>
      </w:r>
      <w:r>
        <w:rPr>
          <w:rFonts w:ascii="Times New Roman" w:eastAsia="Times New Roman" w:hAnsi="Times New Roman" w:cs="Times New Roman"/>
          <w:bCs/>
          <w:sz w:val="24"/>
          <w:szCs w:val="24"/>
        </w:rPr>
        <w:t xml:space="preserve">, L. (2015). </w:t>
      </w:r>
      <w:r w:rsidRPr="00F3671A">
        <w:rPr>
          <w:rFonts w:ascii="Times New Roman" w:eastAsia="Times New Roman" w:hAnsi="Times New Roman" w:cs="Times New Roman"/>
          <w:bCs/>
          <w:i/>
          <w:sz w:val="24"/>
          <w:szCs w:val="24"/>
        </w:rPr>
        <w:t>In Search of National Economic Success: Balancing Competition and Cooperation</w:t>
      </w:r>
      <w:r>
        <w:rPr>
          <w:rFonts w:ascii="Times New Roman" w:eastAsia="Times New Roman" w:hAnsi="Times New Roman" w:cs="Times New Roman"/>
          <w:bCs/>
          <w:sz w:val="24"/>
          <w:szCs w:val="24"/>
        </w:rPr>
        <w:t xml:space="preserve">. Thousand Oaks: CA Sage </w:t>
      </w:r>
    </w:p>
    <w:p w:rsidR="00891EBD" w:rsidRDefault="00891EBD" w:rsidP="00891EBD">
      <w:pPr>
        <w:spacing w:line="240" w:lineRule="auto"/>
        <w:ind w:left="720" w:hanging="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Wells Fargo (2019). </w:t>
      </w:r>
      <w:r w:rsidRPr="003F0939">
        <w:rPr>
          <w:rFonts w:ascii="Times New Roman" w:eastAsia="Times New Roman" w:hAnsi="Times New Roman" w:cs="Times New Roman"/>
          <w:bCs/>
          <w:i/>
          <w:sz w:val="24"/>
          <w:szCs w:val="24"/>
        </w:rPr>
        <w:t>Arizona Economic Outlook: 2019</w:t>
      </w:r>
      <w:r>
        <w:rPr>
          <w:rFonts w:ascii="Times New Roman" w:eastAsia="Times New Roman" w:hAnsi="Times New Roman" w:cs="Times New Roman"/>
          <w:bCs/>
          <w:sz w:val="24"/>
          <w:szCs w:val="24"/>
        </w:rPr>
        <w:t xml:space="preserve">. </w:t>
      </w:r>
      <w:hyperlink r:id="rId15" w:history="1">
        <w:r w:rsidRPr="00FC6E84">
          <w:rPr>
            <w:rStyle w:val="Hyperlink"/>
            <w:rFonts w:ascii="Times New Roman" w:eastAsia="Times New Roman" w:hAnsi="Times New Roman" w:cs="Times New Roman"/>
            <w:bCs/>
            <w:color w:val="000000" w:themeColor="text1"/>
            <w:sz w:val="24"/>
            <w:szCs w:val="24"/>
          </w:rPr>
          <w:t>https://www08.wellsfargomedia.com/assets/pdf/commercial/insights/economics/regional-reports/az-economic-outlook-20190410.pdf</w:t>
        </w:r>
      </w:hyperlink>
      <w:r w:rsidRPr="00FC6E84">
        <w:rPr>
          <w:rFonts w:ascii="Times New Roman" w:eastAsia="Times New Roman" w:hAnsi="Times New Roman" w:cs="Times New Roman"/>
          <w:bCs/>
          <w:color w:val="000000" w:themeColor="text1"/>
          <w:sz w:val="24"/>
          <w:szCs w:val="24"/>
        </w:rPr>
        <w:t xml:space="preserve"> </w:t>
      </w:r>
    </w:p>
    <w:p w:rsidR="00891EBD" w:rsidRPr="00B95583" w:rsidRDefault="00891EBD" w:rsidP="00891EBD">
      <w:pPr>
        <w:spacing w:line="480" w:lineRule="auto"/>
        <w:ind w:left="720" w:hanging="720"/>
        <w:rPr>
          <w:rFonts w:ascii="Times New Roman" w:eastAsia="Times New Roman" w:hAnsi="Times New Roman" w:cs="Times New Roman"/>
          <w:sz w:val="24"/>
          <w:szCs w:val="24"/>
        </w:rPr>
      </w:pPr>
    </w:p>
    <w:p w:rsidR="00891EBD" w:rsidRPr="00B95583" w:rsidRDefault="00891EBD" w:rsidP="00891EBD">
      <w:pPr>
        <w:spacing w:line="480" w:lineRule="auto"/>
        <w:rPr>
          <w:rFonts w:ascii="Times New Roman" w:eastAsia="Times New Roman" w:hAnsi="Times New Roman" w:cs="Times New Roman"/>
          <w:sz w:val="24"/>
          <w:szCs w:val="24"/>
        </w:rPr>
      </w:pPr>
    </w:p>
    <w:p w:rsidR="00891EBD" w:rsidRPr="007148B3" w:rsidRDefault="00891EBD" w:rsidP="00891EBD">
      <w:pPr>
        <w:spacing w:line="480" w:lineRule="auto"/>
        <w:rPr>
          <w:rFonts w:ascii="Times New Roman" w:eastAsia="Times New Roman" w:hAnsi="Times New Roman" w:cs="Times New Roman"/>
          <w:sz w:val="24"/>
          <w:szCs w:val="24"/>
        </w:rPr>
      </w:pPr>
    </w:p>
    <w:p w:rsidR="00891EBD" w:rsidRDefault="00891EBD" w:rsidP="00891EBD">
      <w:pPr>
        <w:pStyle w:val="NormalWeb"/>
        <w:shd w:val="clear" w:color="auto" w:fill="FFFFFF"/>
        <w:spacing w:before="0" w:beforeAutospacing="0" w:after="390" w:afterAutospacing="0" w:line="480" w:lineRule="auto"/>
      </w:pPr>
    </w:p>
    <w:p w:rsidR="00891EBD" w:rsidRPr="00B315E6" w:rsidRDefault="00891EBD" w:rsidP="00891EBD">
      <w:pPr>
        <w:pStyle w:val="NormalWeb"/>
        <w:shd w:val="clear" w:color="auto" w:fill="FFFFFF"/>
        <w:spacing w:before="0" w:beforeAutospacing="0" w:after="390" w:afterAutospacing="0" w:line="480" w:lineRule="auto"/>
      </w:pPr>
    </w:p>
    <w:sectPr w:rsidR="00891EBD" w:rsidRPr="00B315E6">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11C4" w:rsidRDefault="007211C4" w:rsidP="007211C4">
      <w:pPr>
        <w:spacing w:after="0" w:line="240" w:lineRule="auto"/>
      </w:pPr>
      <w:r>
        <w:separator/>
      </w:r>
    </w:p>
  </w:endnote>
  <w:endnote w:type="continuationSeparator" w:id="0">
    <w:p w:rsidR="007211C4" w:rsidRDefault="007211C4" w:rsidP="0072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f4">
    <w:altName w:val="Times New Roman"/>
    <w:panose1 w:val="00000000000000000000"/>
    <w:charset w:val="00"/>
    <w:family w:val="roman"/>
    <w:notTrueType/>
    <w:pitch w:val="default"/>
  </w:font>
  <w:font w:name="ff6">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11C4" w:rsidRDefault="007211C4" w:rsidP="007211C4">
      <w:pPr>
        <w:spacing w:after="0" w:line="240" w:lineRule="auto"/>
      </w:pPr>
      <w:r>
        <w:separator/>
      </w:r>
    </w:p>
  </w:footnote>
  <w:footnote w:type="continuationSeparator" w:id="0">
    <w:p w:rsidR="007211C4" w:rsidRDefault="007211C4" w:rsidP="0072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2056249"/>
      <w:docPartObj>
        <w:docPartGallery w:val="Page Numbers (Top of Page)"/>
        <w:docPartUnique/>
      </w:docPartObj>
    </w:sdtPr>
    <w:sdtEndPr>
      <w:rPr>
        <w:noProof/>
      </w:rPr>
    </w:sdtEndPr>
    <w:sdtContent>
      <w:p w:rsidR="007211C4" w:rsidRDefault="007211C4">
        <w:pPr>
          <w:pStyle w:val="Header"/>
          <w:jc w:val="right"/>
        </w:pPr>
        <w:r>
          <w:fldChar w:fldCharType="begin"/>
        </w:r>
        <w:r>
          <w:instrText xml:space="preserve"> PAGE   \* MERGEFORMAT </w:instrText>
        </w:r>
        <w:r>
          <w:fldChar w:fldCharType="separate"/>
        </w:r>
        <w:r w:rsidR="008452A9">
          <w:rPr>
            <w:noProof/>
          </w:rPr>
          <w:t>1</w:t>
        </w:r>
        <w:r>
          <w:rPr>
            <w:noProof/>
          </w:rPr>
          <w:fldChar w:fldCharType="end"/>
        </w:r>
      </w:p>
    </w:sdtContent>
  </w:sdt>
  <w:p w:rsidR="007211C4" w:rsidRPr="00891EBD" w:rsidRDefault="00891EBD">
    <w:pPr>
      <w:pStyle w:val="Header"/>
      <w:rPr>
        <w:rFonts w:ascii="Times New Roman" w:hAnsi="Times New Roman" w:cs="Times New Roman"/>
      </w:rPr>
    </w:pPr>
    <w:r>
      <w:rPr>
        <w:rFonts w:ascii="Times New Roman" w:hAnsi="Times New Roman" w:cs="Times New Roman"/>
      </w:rPr>
      <w:t>RUNNING HEAD: REGIONAL MACROECONOMI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6E3"/>
    <w:rsid w:val="0007135F"/>
    <w:rsid w:val="000F762C"/>
    <w:rsid w:val="0013095C"/>
    <w:rsid w:val="001635DE"/>
    <w:rsid w:val="002A0271"/>
    <w:rsid w:val="00305851"/>
    <w:rsid w:val="00357C0F"/>
    <w:rsid w:val="00376837"/>
    <w:rsid w:val="00456F24"/>
    <w:rsid w:val="004C72F7"/>
    <w:rsid w:val="0057214C"/>
    <w:rsid w:val="007121E1"/>
    <w:rsid w:val="007211C4"/>
    <w:rsid w:val="00781B3C"/>
    <w:rsid w:val="00792078"/>
    <w:rsid w:val="008452A9"/>
    <w:rsid w:val="00891EBD"/>
    <w:rsid w:val="00905FD9"/>
    <w:rsid w:val="009266D1"/>
    <w:rsid w:val="00944694"/>
    <w:rsid w:val="009656BF"/>
    <w:rsid w:val="0097311C"/>
    <w:rsid w:val="009C3529"/>
    <w:rsid w:val="00A40A38"/>
    <w:rsid w:val="00AD06E3"/>
    <w:rsid w:val="00B315E6"/>
    <w:rsid w:val="00B5339D"/>
    <w:rsid w:val="00B67888"/>
    <w:rsid w:val="00C3577A"/>
    <w:rsid w:val="00D40C58"/>
    <w:rsid w:val="00D426CB"/>
    <w:rsid w:val="00E04C6C"/>
    <w:rsid w:val="00EB09BD"/>
    <w:rsid w:val="00FA65D3"/>
    <w:rsid w:val="00FF7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8F0840-7DE0-4209-8B43-2EB939B3D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72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text">
    <w:name w:val="p-text"/>
    <w:basedOn w:val="Normal"/>
    <w:rsid w:val="00781B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glossarylink">
    <w:name w:val="glossarylink"/>
    <w:basedOn w:val="DefaultParagraphFont"/>
    <w:rsid w:val="002A0271"/>
  </w:style>
  <w:style w:type="character" w:styleId="Hyperlink">
    <w:name w:val="Hyperlink"/>
    <w:basedOn w:val="DefaultParagraphFont"/>
    <w:uiPriority w:val="99"/>
    <w:semiHidden/>
    <w:unhideWhenUsed/>
    <w:rsid w:val="002A0271"/>
    <w:rPr>
      <w:color w:val="0000FF"/>
      <w:u w:val="single"/>
    </w:rPr>
  </w:style>
  <w:style w:type="character" w:styleId="Emphasis">
    <w:name w:val="Emphasis"/>
    <w:basedOn w:val="DefaultParagraphFont"/>
    <w:uiPriority w:val="20"/>
    <w:qFormat/>
    <w:rsid w:val="009C3529"/>
    <w:rPr>
      <w:i/>
      <w:iCs/>
    </w:rPr>
  </w:style>
  <w:style w:type="character" w:styleId="Strong">
    <w:name w:val="Strong"/>
    <w:basedOn w:val="DefaultParagraphFont"/>
    <w:uiPriority w:val="22"/>
    <w:qFormat/>
    <w:rsid w:val="00905FD9"/>
    <w:rPr>
      <w:b/>
      <w:bCs/>
    </w:rPr>
  </w:style>
  <w:style w:type="paragraph" w:customStyle="1" w:styleId="initial">
    <w:name w:val="initial"/>
    <w:basedOn w:val="Normal"/>
    <w:rsid w:val="00FF704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7211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11C4"/>
  </w:style>
  <w:style w:type="paragraph" w:styleId="Footer">
    <w:name w:val="footer"/>
    <w:basedOn w:val="Normal"/>
    <w:link w:val="FooterChar"/>
    <w:uiPriority w:val="99"/>
    <w:unhideWhenUsed/>
    <w:rsid w:val="007211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1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388817">
      <w:bodyDiv w:val="1"/>
      <w:marLeft w:val="0"/>
      <w:marRight w:val="0"/>
      <w:marTop w:val="0"/>
      <w:marBottom w:val="0"/>
      <w:divBdr>
        <w:top w:val="none" w:sz="0" w:space="0" w:color="auto"/>
        <w:left w:val="none" w:sz="0" w:space="0" w:color="auto"/>
        <w:bottom w:val="none" w:sz="0" w:space="0" w:color="auto"/>
        <w:right w:val="none" w:sz="0" w:space="0" w:color="auto"/>
      </w:divBdr>
    </w:div>
    <w:div w:id="631403615">
      <w:bodyDiv w:val="1"/>
      <w:marLeft w:val="0"/>
      <w:marRight w:val="0"/>
      <w:marTop w:val="0"/>
      <w:marBottom w:val="0"/>
      <w:divBdr>
        <w:top w:val="none" w:sz="0" w:space="0" w:color="auto"/>
        <w:left w:val="none" w:sz="0" w:space="0" w:color="auto"/>
        <w:bottom w:val="none" w:sz="0" w:space="0" w:color="auto"/>
        <w:right w:val="none" w:sz="0" w:space="0" w:color="auto"/>
      </w:divBdr>
    </w:div>
    <w:div w:id="678309254">
      <w:bodyDiv w:val="1"/>
      <w:marLeft w:val="0"/>
      <w:marRight w:val="0"/>
      <w:marTop w:val="0"/>
      <w:marBottom w:val="0"/>
      <w:divBdr>
        <w:top w:val="none" w:sz="0" w:space="0" w:color="auto"/>
        <w:left w:val="none" w:sz="0" w:space="0" w:color="auto"/>
        <w:bottom w:val="none" w:sz="0" w:space="0" w:color="auto"/>
        <w:right w:val="none" w:sz="0" w:space="0" w:color="auto"/>
      </w:divBdr>
    </w:div>
    <w:div w:id="729156957">
      <w:bodyDiv w:val="1"/>
      <w:marLeft w:val="0"/>
      <w:marRight w:val="0"/>
      <w:marTop w:val="0"/>
      <w:marBottom w:val="0"/>
      <w:divBdr>
        <w:top w:val="none" w:sz="0" w:space="0" w:color="auto"/>
        <w:left w:val="none" w:sz="0" w:space="0" w:color="auto"/>
        <w:bottom w:val="none" w:sz="0" w:space="0" w:color="auto"/>
        <w:right w:val="none" w:sz="0" w:space="0" w:color="auto"/>
      </w:divBdr>
    </w:div>
    <w:div w:id="920407669">
      <w:bodyDiv w:val="1"/>
      <w:marLeft w:val="0"/>
      <w:marRight w:val="0"/>
      <w:marTop w:val="0"/>
      <w:marBottom w:val="0"/>
      <w:divBdr>
        <w:top w:val="none" w:sz="0" w:space="0" w:color="auto"/>
        <w:left w:val="none" w:sz="0" w:space="0" w:color="auto"/>
        <w:bottom w:val="none" w:sz="0" w:space="0" w:color="auto"/>
        <w:right w:val="none" w:sz="0" w:space="0" w:color="auto"/>
      </w:divBdr>
    </w:div>
    <w:div w:id="1118793657">
      <w:bodyDiv w:val="1"/>
      <w:marLeft w:val="0"/>
      <w:marRight w:val="0"/>
      <w:marTop w:val="0"/>
      <w:marBottom w:val="0"/>
      <w:divBdr>
        <w:top w:val="none" w:sz="0" w:space="0" w:color="auto"/>
        <w:left w:val="none" w:sz="0" w:space="0" w:color="auto"/>
        <w:bottom w:val="none" w:sz="0" w:space="0" w:color="auto"/>
        <w:right w:val="none" w:sz="0" w:space="0" w:color="auto"/>
      </w:divBdr>
    </w:div>
    <w:div w:id="1333951330">
      <w:bodyDiv w:val="1"/>
      <w:marLeft w:val="0"/>
      <w:marRight w:val="0"/>
      <w:marTop w:val="0"/>
      <w:marBottom w:val="0"/>
      <w:divBdr>
        <w:top w:val="none" w:sz="0" w:space="0" w:color="auto"/>
        <w:left w:val="none" w:sz="0" w:space="0" w:color="auto"/>
        <w:bottom w:val="none" w:sz="0" w:space="0" w:color="auto"/>
        <w:right w:val="none" w:sz="0" w:space="0" w:color="auto"/>
      </w:divBdr>
    </w:div>
    <w:div w:id="1381518216">
      <w:bodyDiv w:val="1"/>
      <w:marLeft w:val="0"/>
      <w:marRight w:val="0"/>
      <w:marTop w:val="0"/>
      <w:marBottom w:val="0"/>
      <w:divBdr>
        <w:top w:val="none" w:sz="0" w:space="0" w:color="auto"/>
        <w:left w:val="none" w:sz="0" w:space="0" w:color="auto"/>
        <w:bottom w:val="none" w:sz="0" w:space="0" w:color="auto"/>
        <w:right w:val="none" w:sz="0" w:space="0" w:color="auto"/>
      </w:divBdr>
    </w:div>
    <w:div w:id="1778018229">
      <w:bodyDiv w:val="1"/>
      <w:marLeft w:val="0"/>
      <w:marRight w:val="0"/>
      <w:marTop w:val="0"/>
      <w:marBottom w:val="0"/>
      <w:divBdr>
        <w:top w:val="none" w:sz="0" w:space="0" w:color="auto"/>
        <w:left w:val="none" w:sz="0" w:space="0" w:color="auto"/>
        <w:bottom w:val="none" w:sz="0" w:space="0" w:color="auto"/>
        <w:right w:val="none" w:sz="0" w:space="0" w:color="auto"/>
      </w:divBdr>
    </w:div>
    <w:div w:id="179505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ls.gov/cps/" TargetMode="External"/><Relationship Id="rId13" Type="http://schemas.openxmlformats.org/officeDocument/2006/relationships/chart" Target="charts/chart4.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investopedia.com/terms/l/laggingindicator.asp" TargetMode="External"/><Relationship Id="rId12" Type="http://schemas.openxmlformats.org/officeDocument/2006/relationships/chart" Target="charts/chart3.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edweek.org/ew/collections/quality-counts-2018-state-grades/index.html" TargetMode="External"/><Relationship Id="rId11" Type="http://schemas.openxmlformats.org/officeDocument/2006/relationships/chart" Target="charts/chart2.xml"/><Relationship Id="rId5" Type="http://schemas.openxmlformats.org/officeDocument/2006/relationships/endnotes" Target="endnotes.xml"/><Relationship Id="rId15" Type="http://schemas.openxmlformats.org/officeDocument/2006/relationships/hyperlink" Target="https://www08.wellsfargomedia.com/assets/pdf/commercial/insights/economics/regional-reports/az-economic-outlook-20190410.pdf" TargetMode="External"/><Relationship Id="rId10" Type="http://schemas.openxmlformats.org/officeDocument/2006/relationships/chart" Target="charts/chart1.xml"/><Relationship Id="rId4" Type="http://schemas.openxmlformats.org/officeDocument/2006/relationships/footnotes" Target="footnotes.xml"/><Relationship Id="rId9" Type="http://schemas.openxmlformats.org/officeDocument/2006/relationships/hyperlink" Target="https://www.edweek.org/ew/collections/quality-counts-2018-state-grades/index.html" TargetMode="External"/><Relationship Id="rId14" Type="http://schemas.openxmlformats.org/officeDocument/2006/relationships/hyperlink" Target="https://www.azeconomy.org/data/"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Sheet2!$C$5</c:f>
              <c:strCache>
                <c:ptCount val="1"/>
                <c:pt idx="0">
                  <c:v>School Dropout</c:v>
                </c:pt>
              </c:strCache>
            </c:strRef>
          </c:tx>
          <c:spPr>
            <a:solidFill>
              <a:schemeClr val="accent1"/>
            </a:solidFill>
            <a:ln>
              <a:noFill/>
            </a:ln>
            <a:effectLst/>
          </c:spPr>
          <c:invertIfNegative val="0"/>
          <c:cat>
            <c:numRef>
              <c:f>Sheet2!$D$4:$M$4</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Sheet2!$D$5:$M$5</c:f>
              <c:numCache>
                <c:formatCode>General</c:formatCode>
                <c:ptCount val="10"/>
                <c:pt idx="0">
                  <c:v>10.4</c:v>
                </c:pt>
                <c:pt idx="1">
                  <c:v>10</c:v>
                </c:pt>
                <c:pt idx="2">
                  <c:v>9.8000000000000007</c:v>
                </c:pt>
                <c:pt idx="3">
                  <c:v>9.6999999999999993</c:v>
                </c:pt>
                <c:pt idx="4">
                  <c:v>9.8000000000000007</c:v>
                </c:pt>
                <c:pt idx="5">
                  <c:v>10</c:v>
                </c:pt>
                <c:pt idx="6">
                  <c:v>10</c:v>
                </c:pt>
                <c:pt idx="7">
                  <c:v>10</c:v>
                </c:pt>
                <c:pt idx="8">
                  <c:v>10</c:v>
                </c:pt>
                <c:pt idx="9">
                  <c:v>9</c:v>
                </c:pt>
              </c:numCache>
            </c:numRef>
          </c:val>
        </c:ser>
        <c:dLbls>
          <c:showLegendKey val="0"/>
          <c:showVal val="0"/>
          <c:showCatName val="0"/>
          <c:showSerName val="0"/>
          <c:showPercent val="0"/>
          <c:showBubbleSize val="0"/>
        </c:dLbls>
        <c:gapWidth val="219"/>
        <c:overlap val="-27"/>
        <c:axId val="1857893760"/>
        <c:axId val="1857888864"/>
      </c:barChart>
      <c:catAx>
        <c:axId val="1857893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7888864"/>
        <c:crosses val="autoZero"/>
        <c:auto val="1"/>
        <c:lblAlgn val="ctr"/>
        <c:lblOffset val="100"/>
        <c:noMultiLvlLbl val="0"/>
      </c:catAx>
      <c:valAx>
        <c:axId val="1857888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78937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Sheet2!$C$5</c:f>
              <c:strCache>
                <c:ptCount val="1"/>
                <c:pt idx="0">
                  <c:v>School Dropout</c:v>
                </c:pt>
              </c:strCache>
            </c:strRef>
          </c:tx>
          <c:spPr>
            <a:solidFill>
              <a:schemeClr val="accent1"/>
            </a:solidFill>
            <a:ln>
              <a:noFill/>
            </a:ln>
            <a:effectLst/>
          </c:spPr>
          <c:invertIfNegative val="0"/>
          <c:cat>
            <c:numRef>
              <c:f>Sheet2!$D$4:$M$4</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Sheet2!$D$5:$M$5</c:f>
              <c:numCache>
                <c:formatCode>General</c:formatCode>
                <c:ptCount val="10"/>
                <c:pt idx="0">
                  <c:v>10.4</c:v>
                </c:pt>
                <c:pt idx="1">
                  <c:v>10</c:v>
                </c:pt>
                <c:pt idx="2">
                  <c:v>9.8000000000000007</c:v>
                </c:pt>
                <c:pt idx="3">
                  <c:v>9.6999999999999993</c:v>
                </c:pt>
                <c:pt idx="4">
                  <c:v>9.8000000000000007</c:v>
                </c:pt>
                <c:pt idx="5">
                  <c:v>10</c:v>
                </c:pt>
                <c:pt idx="6">
                  <c:v>10</c:v>
                </c:pt>
                <c:pt idx="7">
                  <c:v>10</c:v>
                </c:pt>
                <c:pt idx="8">
                  <c:v>10</c:v>
                </c:pt>
                <c:pt idx="9">
                  <c:v>9</c:v>
                </c:pt>
              </c:numCache>
            </c:numRef>
          </c:val>
        </c:ser>
        <c:dLbls>
          <c:showLegendKey val="0"/>
          <c:showVal val="0"/>
          <c:showCatName val="0"/>
          <c:showSerName val="0"/>
          <c:showPercent val="0"/>
          <c:showBubbleSize val="0"/>
        </c:dLbls>
        <c:gapWidth val="219"/>
        <c:overlap val="-27"/>
        <c:axId val="1858370304"/>
        <c:axId val="1858368672"/>
      </c:barChart>
      <c:catAx>
        <c:axId val="1858370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8368672"/>
        <c:crosses val="autoZero"/>
        <c:auto val="1"/>
        <c:lblAlgn val="ctr"/>
        <c:lblOffset val="100"/>
        <c:noMultiLvlLbl val="0"/>
      </c:catAx>
      <c:valAx>
        <c:axId val="1858368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8370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3952777777777776"/>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Sheet2!$C$5</c:f>
              <c:strCache>
                <c:ptCount val="1"/>
                <c:pt idx="0">
                  <c:v>School Dropout</c:v>
                </c:pt>
              </c:strCache>
            </c:strRef>
          </c:tx>
          <c:spPr>
            <a:ln w="28575" cap="rnd">
              <a:solidFill>
                <a:schemeClr val="accent1"/>
              </a:solidFill>
              <a:round/>
            </a:ln>
            <a:effectLst/>
          </c:spPr>
          <c:marker>
            <c:symbol val="none"/>
          </c:marker>
          <c:cat>
            <c:numRef>
              <c:f>Sheet2!$D$4:$M$4</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Sheet2!$D$5:$M$5</c:f>
              <c:numCache>
                <c:formatCode>General</c:formatCode>
                <c:ptCount val="10"/>
                <c:pt idx="0">
                  <c:v>10.4</c:v>
                </c:pt>
                <c:pt idx="1">
                  <c:v>10</c:v>
                </c:pt>
                <c:pt idx="2">
                  <c:v>9.8000000000000007</c:v>
                </c:pt>
                <c:pt idx="3">
                  <c:v>9.6999999999999993</c:v>
                </c:pt>
                <c:pt idx="4">
                  <c:v>9.8000000000000007</c:v>
                </c:pt>
                <c:pt idx="5">
                  <c:v>10</c:v>
                </c:pt>
                <c:pt idx="6">
                  <c:v>10</c:v>
                </c:pt>
                <c:pt idx="7">
                  <c:v>10</c:v>
                </c:pt>
                <c:pt idx="8">
                  <c:v>10</c:v>
                </c:pt>
                <c:pt idx="9">
                  <c:v>9</c:v>
                </c:pt>
              </c:numCache>
            </c:numRef>
          </c:val>
          <c:smooth val="0"/>
        </c:ser>
        <c:dLbls>
          <c:showLegendKey val="0"/>
          <c:showVal val="0"/>
          <c:showCatName val="0"/>
          <c:showSerName val="0"/>
          <c:showPercent val="0"/>
          <c:showBubbleSize val="0"/>
        </c:dLbls>
        <c:smooth val="0"/>
        <c:axId val="1748192624"/>
        <c:axId val="1748191536"/>
      </c:lineChart>
      <c:catAx>
        <c:axId val="1748192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8191536"/>
        <c:crosses val="autoZero"/>
        <c:auto val="1"/>
        <c:lblAlgn val="ctr"/>
        <c:lblOffset val="100"/>
        <c:noMultiLvlLbl val="0"/>
      </c:catAx>
      <c:valAx>
        <c:axId val="1748191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8192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3952777777777776"/>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Sheet2!$C$5</c:f>
              <c:strCache>
                <c:ptCount val="1"/>
                <c:pt idx="0">
                  <c:v>School Dropout</c:v>
                </c:pt>
              </c:strCache>
            </c:strRef>
          </c:tx>
          <c:spPr>
            <a:ln w="28575" cap="rnd">
              <a:solidFill>
                <a:schemeClr val="accent1"/>
              </a:solidFill>
              <a:round/>
            </a:ln>
            <a:effectLst/>
          </c:spPr>
          <c:marker>
            <c:symbol val="none"/>
          </c:marker>
          <c:cat>
            <c:numRef>
              <c:f>Sheet2!$D$4:$M$4</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Sheet2!$D$5:$M$5</c:f>
              <c:numCache>
                <c:formatCode>General</c:formatCode>
                <c:ptCount val="10"/>
                <c:pt idx="0">
                  <c:v>10.4</c:v>
                </c:pt>
                <c:pt idx="1">
                  <c:v>10</c:v>
                </c:pt>
                <c:pt idx="2">
                  <c:v>9.8000000000000007</c:v>
                </c:pt>
                <c:pt idx="3">
                  <c:v>9.6999999999999993</c:v>
                </c:pt>
                <c:pt idx="4">
                  <c:v>9.8000000000000007</c:v>
                </c:pt>
                <c:pt idx="5">
                  <c:v>10</c:v>
                </c:pt>
                <c:pt idx="6">
                  <c:v>10</c:v>
                </c:pt>
                <c:pt idx="7">
                  <c:v>10</c:v>
                </c:pt>
                <c:pt idx="8">
                  <c:v>10</c:v>
                </c:pt>
                <c:pt idx="9">
                  <c:v>9</c:v>
                </c:pt>
              </c:numCache>
            </c:numRef>
          </c:val>
          <c:smooth val="0"/>
        </c:ser>
        <c:dLbls>
          <c:showLegendKey val="0"/>
          <c:showVal val="0"/>
          <c:showCatName val="0"/>
          <c:showSerName val="0"/>
          <c:showPercent val="0"/>
          <c:showBubbleSize val="0"/>
        </c:dLbls>
        <c:smooth val="0"/>
        <c:axId val="1944872512"/>
        <c:axId val="1944865440"/>
      </c:lineChart>
      <c:catAx>
        <c:axId val="1944872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4865440"/>
        <c:crosses val="autoZero"/>
        <c:auto val="1"/>
        <c:lblAlgn val="ctr"/>
        <c:lblOffset val="100"/>
        <c:noMultiLvlLbl val="0"/>
      </c:catAx>
      <c:valAx>
        <c:axId val="1944865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4872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1950</Words>
  <Characters>11120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2020-03-01T06:28:00Z</dcterms:created>
  <dcterms:modified xsi:type="dcterms:W3CDTF">2020-03-01T06:28:00Z</dcterms:modified>
</cp:coreProperties>
</file>